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597EB" w14:textId="1B025EBF" w:rsidR="001E117C" w:rsidRDefault="00AD1C00" w:rsidP="001E117C">
      <w:pPr>
        <w:spacing w:line="276" w:lineRule="auto"/>
        <w:jc w:val="center"/>
        <w:textAlignment w:val="top"/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</w:pPr>
      <w:bookmarkStart w:id="0" w:name="_Hlk40796077"/>
      <w:r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 xml:space="preserve">COVID E INFILTRAZIONI CRIMINALI: I NUOVI INDICATORI DI ANOMALIA </w:t>
      </w:r>
      <w:r w:rsidR="001968FC"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>PER TUTELARE</w:t>
      </w:r>
      <w:r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 xml:space="preserve"> LE AZIENDE</w:t>
      </w:r>
    </w:p>
    <w:p w14:paraId="49CAAD64" w14:textId="77777777" w:rsidR="00AD1C00" w:rsidRDefault="00AD1C00" w:rsidP="001E117C">
      <w:pPr>
        <w:spacing w:line="276" w:lineRule="auto"/>
        <w:jc w:val="center"/>
        <w:textAlignment w:val="top"/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</w:pPr>
    </w:p>
    <w:p w14:paraId="160360B5" w14:textId="44F98B5F" w:rsidR="00AD1C00" w:rsidRPr="000D37D0" w:rsidRDefault="00AD1C00" w:rsidP="001E117C">
      <w:pPr>
        <w:spacing w:line="276" w:lineRule="auto"/>
        <w:jc w:val="center"/>
        <w:textAlignment w:val="top"/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</w:pPr>
      <w:r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 xml:space="preserve">L’Associazione dei Risk Manager sottolinea l’importanza di strumenti rapidi ed efficaci per far fronte </w:t>
      </w:r>
      <w:r w:rsidR="001968FC"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>al fenomeno</w:t>
      </w:r>
    </w:p>
    <w:p w14:paraId="79D3BA1F" w14:textId="77777777" w:rsidR="001E117C" w:rsidRPr="000D37D0" w:rsidRDefault="001E117C" w:rsidP="001E117C">
      <w:pPr>
        <w:spacing w:line="276" w:lineRule="auto"/>
        <w:jc w:val="center"/>
        <w:textAlignment w:val="top"/>
        <w:rPr>
          <w:rFonts w:ascii="Verdana" w:hAnsi="Verdana" w:cstheme="minorHAnsi"/>
          <w:b/>
          <w:bCs/>
          <w:shd w:val="clear" w:color="auto" w:fill="FFFFFF"/>
        </w:rPr>
      </w:pPr>
    </w:p>
    <w:p w14:paraId="4800C1AF" w14:textId="30430B4D" w:rsidR="00996E6E" w:rsidRPr="000D37D0" w:rsidRDefault="00996E6E" w:rsidP="008152E2">
      <w:pPr>
        <w:spacing w:line="276" w:lineRule="auto"/>
        <w:jc w:val="both"/>
        <w:textAlignment w:val="top"/>
        <w:rPr>
          <w:rFonts w:ascii="Verdana" w:hAnsi="Verdana" w:cs="Arial"/>
          <w:color w:val="575959"/>
          <w:shd w:val="clear" w:color="auto" w:fill="FFFFFF"/>
        </w:rPr>
      </w:pPr>
    </w:p>
    <w:p w14:paraId="05474EC4" w14:textId="73E504E2" w:rsidR="000B48F8" w:rsidRDefault="00B85BC5" w:rsidP="0041586E">
      <w:p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La</w:t>
      </w:r>
      <w:r w:rsidR="00774F76">
        <w:rPr>
          <w:rFonts w:ascii="Verdana" w:hAnsi="Verdana" w:cstheme="minorHAnsi"/>
        </w:rPr>
        <w:t xml:space="preserve"> difficile situazione economica</w:t>
      </w:r>
      <w:r>
        <w:rPr>
          <w:rFonts w:ascii="Verdana" w:hAnsi="Verdana" w:cstheme="minorHAnsi"/>
        </w:rPr>
        <w:t xml:space="preserve"> generata dalla pandemia</w:t>
      </w:r>
      <w:r w:rsidR="00774F76">
        <w:rPr>
          <w:rFonts w:ascii="Verdana" w:hAnsi="Verdana" w:cstheme="minorHAnsi"/>
        </w:rPr>
        <w:t xml:space="preserve"> rappresenta un pericolo per imprese ed istituzioni finanziarie, in quanto ap</w:t>
      </w:r>
      <w:r w:rsidR="009F5E58">
        <w:rPr>
          <w:rFonts w:ascii="Verdana" w:hAnsi="Verdana" w:cstheme="minorHAnsi"/>
        </w:rPr>
        <w:t>re</w:t>
      </w:r>
      <w:r w:rsidR="00774F76">
        <w:rPr>
          <w:rFonts w:ascii="Verdana" w:hAnsi="Verdana" w:cstheme="minorHAnsi"/>
        </w:rPr>
        <w:t xml:space="preserve"> alla </w:t>
      </w:r>
      <w:r w:rsidR="00774F76" w:rsidRPr="000B48F8">
        <w:rPr>
          <w:rFonts w:ascii="Verdana" w:hAnsi="Verdana" w:cstheme="minorHAnsi"/>
          <w:b/>
        </w:rPr>
        <w:t>possibilità di infiltrazione della criminalità organizzata</w:t>
      </w:r>
      <w:r w:rsidR="00774F76">
        <w:rPr>
          <w:rFonts w:ascii="Verdana" w:hAnsi="Verdana" w:cstheme="minorHAnsi"/>
        </w:rPr>
        <w:t xml:space="preserve"> e ad un </w:t>
      </w:r>
      <w:r w:rsidR="00774F76" w:rsidRPr="000B48F8">
        <w:rPr>
          <w:rFonts w:ascii="Verdana" w:hAnsi="Verdana" w:cstheme="minorHAnsi"/>
          <w:b/>
        </w:rPr>
        <w:t>aumento delle frodi e degli schemi di riciclaggio</w:t>
      </w:r>
      <w:r w:rsidR="00774F76">
        <w:rPr>
          <w:rFonts w:ascii="Verdana" w:hAnsi="Verdana" w:cstheme="minorHAnsi"/>
        </w:rPr>
        <w:t xml:space="preserve">. </w:t>
      </w:r>
      <w:r w:rsidR="00774F76" w:rsidRPr="000B48F8">
        <w:rPr>
          <w:rFonts w:ascii="Verdana" w:hAnsi="Verdana" w:cstheme="minorHAnsi"/>
          <w:b/>
        </w:rPr>
        <w:t>ANRA, Associazione Nazionale dei Risk Manager</w:t>
      </w:r>
      <w:r w:rsidR="00774F76">
        <w:rPr>
          <w:rFonts w:ascii="Verdana" w:hAnsi="Verdana" w:cstheme="minorHAnsi"/>
        </w:rPr>
        <w:t xml:space="preserve">, ha analizzato la situazione nel corso del webinar </w:t>
      </w:r>
      <w:r w:rsidR="00774F76" w:rsidRPr="000B48F8">
        <w:rPr>
          <w:rFonts w:ascii="Verdana" w:hAnsi="Verdana" w:cstheme="minorHAnsi"/>
          <w:b/>
        </w:rPr>
        <w:t>“Riciclaggio e Infiltrazioni della criminalità organizzata: nuovi indicatori di rischio”</w:t>
      </w:r>
      <w:r w:rsidR="00774F76">
        <w:rPr>
          <w:rFonts w:ascii="Verdana" w:hAnsi="Verdana" w:cstheme="minorHAnsi"/>
        </w:rPr>
        <w:t>,</w:t>
      </w:r>
      <w:r w:rsidR="000B48F8">
        <w:rPr>
          <w:rFonts w:ascii="Verdana" w:hAnsi="Verdana" w:cstheme="minorHAnsi"/>
        </w:rPr>
        <w:t xml:space="preserve"> organizzato</w:t>
      </w:r>
      <w:r w:rsidR="00774F76">
        <w:rPr>
          <w:rFonts w:ascii="Verdana" w:hAnsi="Verdana" w:cstheme="minorHAnsi"/>
        </w:rPr>
        <w:t xml:space="preserve"> in collaborazione con Bureau van </w:t>
      </w:r>
      <w:proofErr w:type="spellStart"/>
      <w:r w:rsidR="00774F76">
        <w:rPr>
          <w:rFonts w:ascii="Verdana" w:hAnsi="Verdana" w:cstheme="minorHAnsi"/>
        </w:rPr>
        <w:t>Dijk</w:t>
      </w:r>
      <w:proofErr w:type="spellEnd"/>
      <w:r w:rsidR="00774F76">
        <w:rPr>
          <w:rFonts w:ascii="Verdana" w:hAnsi="Verdana" w:cstheme="minorHAnsi"/>
        </w:rPr>
        <w:t xml:space="preserve">, </w:t>
      </w:r>
      <w:r w:rsidR="000B48F8">
        <w:rPr>
          <w:rFonts w:ascii="Verdana" w:hAnsi="Verdana" w:cstheme="minorHAnsi"/>
        </w:rPr>
        <w:t xml:space="preserve">e la partecipazione del Laboratorio </w:t>
      </w:r>
      <w:proofErr w:type="spellStart"/>
      <w:r w:rsidR="000B48F8">
        <w:rPr>
          <w:rFonts w:ascii="Verdana" w:hAnsi="Verdana" w:cstheme="minorHAnsi"/>
        </w:rPr>
        <w:t>Transcrime</w:t>
      </w:r>
      <w:proofErr w:type="spellEnd"/>
      <w:r w:rsidR="000B48F8">
        <w:rPr>
          <w:rFonts w:ascii="Verdana" w:hAnsi="Verdana" w:cstheme="minorHAnsi"/>
        </w:rPr>
        <w:t xml:space="preserve"> dell’Università Cattolica, e dell’Università di Palermo.</w:t>
      </w:r>
    </w:p>
    <w:p w14:paraId="6E171756" w14:textId="06E74125" w:rsidR="00A62C9F" w:rsidRDefault="00A62C9F" w:rsidP="0041586E">
      <w:pPr>
        <w:spacing w:line="276" w:lineRule="auto"/>
        <w:jc w:val="both"/>
        <w:rPr>
          <w:rFonts w:ascii="Verdana" w:hAnsi="Verdana" w:cstheme="minorHAnsi"/>
        </w:rPr>
      </w:pPr>
    </w:p>
    <w:p w14:paraId="70BAE881" w14:textId="624C7C4C" w:rsidR="00A62C9F" w:rsidRDefault="00A62C9F" w:rsidP="0041586E">
      <w:p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Nello scenario attuale, si riscontrano principalmente </w:t>
      </w:r>
      <w:r w:rsidRPr="00A364BD">
        <w:rPr>
          <w:rFonts w:ascii="Verdana" w:hAnsi="Verdana" w:cstheme="minorHAnsi"/>
          <w:b/>
        </w:rPr>
        <w:t>3 macro-aree a rischio</w:t>
      </w:r>
      <w:r>
        <w:rPr>
          <w:rFonts w:ascii="Verdana" w:hAnsi="Verdana" w:cstheme="minorHAnsi"/>
        </w:rPr>
        <w:t xml:space="preserve">: </w:t>
      </w:r>
      <w:r w:rsidRPr="00A364BD">
        <w:rPr>
          <w:rFonts w:ascii="Verdana" w:hAnsi="Verdana" w:cstheme="minorHAnsi"/>
          <w:b/>
        </w:rPr>
        <w:t>settori ed imprese con difficoltà a livello patrimoniale</w:t>
      </w:r>
      <w:r>
        <w:rPr>
          <w:rFonts w:ascii="Verdana" w:hAnsi="Verdana" w:cstheme="minorHAnsi"/>
        </w:rPr>
        <w:t>, rese vulnerabili dalla crisi</w:t>
      </w:r>
      <w:r w:rsidR="001655A6">
        <w:rPr>
          <w:rFonts w:ascii="Verdana" w:hAnsi="Verdana" w:cstheme="minorHAnsi"/>
        </w:rPr>
        <w:t xml:space="preserve">, come </w:t>
      </w:r>
      <w:r>
        <w:rPr>
          <w:rFonts w:ascii="Verdana" w:hAnsi="Verdana" w:cstheme="minorHAnsi"/>
        </w:rPr>
        <w:t>ristorazione, alberghiero, turismo, trasporti</w:t>
      </w:r>
      <w:r w:rsidR="001655A6">
        <w:rPr>
          <w:rFonts w:ascii="Verdana" w:hAnsi="Verdana" w:cstheme="minorHAnsi"/>
        </w:rPr>
        <w:t>;</w:t>
      </w:r>
      <w:r>
        <w:rPr>
          <w:rFonts w:ascii="Verdana" w:hAnsi="Verdana" w:cstheme="minorHAnsi"/>
        </w:rPr>
        <w:t xml:space="preserve"> </w:t>
      </w:r>
      <w:r w:rsidRPr="00A364BD">
        <w:rPr>
          <w:rFonts w:ascii="Verdana" w:hAnsi="Verdana" w:cstheme="minorHAnsi"/>
          <w:b/>
        </w:rPr>
        <w:t>settori che la crisi ha reso attraenti</w:t>
      </w:r>
      <w:r w:rsidR="001655A6">
        <w:rPr>
          <w:rFonts w:ascii="Verdana" w:hAnsi="Verdana" w:cstheme="minorHAnsi"/>
        </w:rPr>
        <w:t>, come quello</w:t>
      </w:r>
      <w:r>
        <w:rPr>
          <w:rFonts w:ascii="Verdana" w:hAnsi="Verdana" w:cstheme="minorHAnsi"/>
        </w:rPr>
        <w:t xml:space="preserve"> farmaceutico, </w:t>
      </w:r>
      <w:r w:rsidR="001655A6">
        <w:rPr>
          <w:rFonts w:ascii="Verdana" w:hAnsi="Verdana" w:cstheme="minorHAnsi"/>
        </w:rPr>
        <w:t xml:space="preserve">delle </w:t>
      </w:r>
      <w:r>
        <w:rPr>
          <w:rFonts w:ascii="Verdana" w:hAnsi="Verdana" w:cstheme="minorHAnsi"/>
        </w:rPr>
        <w:t xml:space="preserve">imprese di pulizia, </w:t>
      </w:r>
      <w:r w:rsidR="001655A6">
        <w:rPr>
          <w:rFonts w:ascii="Verdana" w:hAnsi="Verdana" w:cstheme="minorHAnsi"/>
        </w:rPr>
        <w:t xml:space="preserve">dei </w:t>
      </w:r>
      <w:r>
        <w:rPr>
          <w:rFonts w:ascii="Verdana" w:hAnsi="Verdana" w:cstheme="minorHAnsi"/>
        </w:rPr>
        <w:t xml:space="preserve">beni alimentari, </w:t>
      </w:r>
      <w:r w:rsidR="001655A6">
        <w:rPr>
          <w:rFonts w:ascii="Verdana" w:hAnsi="Verdana" w:cstheme="minorHAnsi"/>
        </w:rPr>
        <w:t xml:space="preserve">della </w:t>
      </w:r>
      <w:r>
        <w:rPr>
          <w:rFonts w:ascii="Verdana" w:hAnsi="Verdana" w:cstheme="minorHAnsi"/>
        </w:rPr>
        <w:t>logistica</w:t>
      </w:r>
      <w:r w:rsidR="001655A6">
        <w:rPr>
          <w:rFonts w:ascii="Verdana" w:hAnsi="Verdana" w:cstheme="minorHAnsi"/>
        </w:rPr>
        <w:t xml:space="preserve">; </w:t>
      </w:r>
      <w:r>
        <w:rPr>
          <w:rFonts w:ascii="Verdana" w:hAnsi="Verdana" w:cstheme="minorHAnsi"/>
        </w:rPr>
        <w:t>ed</w:t>
      </w:r>
      <w:r w:rsidR="001968FC">
        <w:rPr>
          <w:rFonts w:ascii="Verdana" w:hAnsi="Verdana" w:cstheme="minorHAnsi"/>
        </w:rPr>
        <w:t>,</w:t>
      </w:r>
      <w:r>
        <w:rPr>
          <w:rFonts w:ascii="Verdana" w:hAnsi="Verdana" w:cstheme="minorHAnsi"/>
        </w:rPr>
        <w:t xml:space="preserve"> infine</w:t>
      </w:r>
      <w:r w:rsidR="001968FC">
        <w:rPr>
          <w:rFonts w:ascii="Verdana" w:hAnsi="Verdana" w:cstheme="minorHAnsi"/>
        </w:rPr>
        <w:t>, anche</w:t>
      </w:r>
      <w:r>
        <w:rPr>
          <w:rFonts w:ascii="Verdana" w:hAnsi="Verdana" w:cstheme="minorHAnsi"/>
        </w:rPr>
        <w:t xml:space="preserve"> i </w:t>
      </w:r>
      <w:r w:rsidRPr="00A364BD">
        <w:rPr>
          <w:rFonts w:ascii="Verdana" w:hAnsi="Verdana" w:cstheme="minorHAnsi"/>
          <w:b/>
        </w:rPr>
        <w:t>sussidi e finanziamenti pubblici</w:t>
      </w:r>
      <w:r>
        <w:rPr>
          <w:rFonts w:ascii="Verdana" w:hAnsi="Verdana" w:cstheme="minorHAnsi"/>
        </w:rPr>
        <w:t>, potenziali vittime di frodi e schemi di riciclaggio.</w:t>
      </w:r>
    </w:p>
    <w:p w14:paraId="757DF270" w14:textId="7BCAABFE" w:rsidR="00A62C9F" w:rsidRDefault="00A62C9F" w:rsidP="0041586E">
      <w:pPr>
        <w:spacing w:line="276" w:lineRule="auto"/>
        <w:jc w:val="both"/>
        <w:rPr>
          <w:rFonts w:ascii="Verdana" w:hAnsi="Verdana" w:cstheme="minorHAnsi"/>
        </w:rPr>
      </w:pPr>
    </w:p>
    <w:p w14:paraId="29353279" w14:textId="0FC2C664" w:rsidR="00A62C9F" w:rsidRDefault="00A62C9F" w:rsidP="0041586E">
      <w:p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In molti casi e in particolare in settori, come quello logistico, già </w:t>
      </w:r>
      <w:r w:rsidR="001968FC">
        <w:rPr>
          <w:rFonts w:ascii="Verdana" w:hAnsi="Verdana" w:cstheme="minorHAnsi"/>
        </w:rPr>
        <w:t xml:space="preserve">in precedenza </w:t>
      </w:r>
      <w:r>
        <w:rPr>
          <w:rFonts w:ascii="Verdana" w:hAnsi="Verdana" w:cstheme="minorHAnsi"/>
        </w:rPr>
        <w:t xml:space="preserve">fortemente esposti al condizionamento mafioso, l’evoluzione di questi rischi comporta un processo di accelerazione dei fenomeni di investimento criminali, ai quali si rende necessario far fronte con una revisione decisa </w:t>
      </w:r>
      <w:r w:rsidR="001968FC">
        <w:rPr>
          <w:rFonts w:ascii="Verdana" w:hAnsi="Verdana" w:cstheme="minorHAnsi"/>
        </w:rPr>
        <w:t xml:space="preserve">e profonda </w:t>
      </w:r>
      <w:r>
        <w:rPr>
          <w:rFonts w:ascii="Verdana" w:hAnsi="Verdana" w:cstheme="minorHAnsi"/>
        </w:rPr>
        <w:t xml:space="preserve">dei sistemi di risk </w:t>
      </w:r>
      <w:proofErr w:type="spellStart"/>
      <w:r>
        <w:rPr>
          <w:rFonts w:ascii="Verdana" w:hAnsi="Verdana" w:cstheme="minorHAnsi"/>
        </w:rPr>
        <w:t>assessment</w:t>
      </w:r>
      <w:proofErr w:type="spellEnd"/>
      <w:r w:rsidR="001655A6">
        <w:rPr>
          <w:rFonts w:ascii="Verdana" w:hAnsi="Verdana" w:cstheme="minorHAnsi"/>
        </w:rPr>
        <w:t>.</w:t>
      </w:r>
    </w:p>
    <w:p w14:paraId="00DFA968" w14:textId="5229D7C3" w:rsidR="00774F76" w:rsidRDefault="00774F76" w:rsidP="0041586E">
      <w:pPr>
        <w:spacing w:line="276" w:lineRule="auto"/>
        <w:jc w:val="both"/>
        <w:rPr>
          <w:rFonts w:ascii="Verdana" w:hAnsi="Verdana" w:cstheme="minorHAnsi"/>
        </w:rPr>
      </w:pPr>
    </w:p>
    <w:p w14:paraId="2A4741E9" w14:textId="3E41A200" w:rsidR="001655A6" w:rsidRDefault="00EF70B4" w:rsidP="0041586E">
      <w:p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Il monitoraggio delle banche dati</w:t>
      </w:r>
      <w:r w:rsidR="00556FFC">
        <w:rPr>
          <w:rFonts w:ascii="Verdana" w:hAnsi="Verdana" w:cstheme="minorHAnsi"/>
        </w:rPr>
        <w:t xml:space="preserve"> a livello globale</w:t>
      </w:r>
      <w:r>
        <w:rPr>
          <w:rFonts w:ascii="Verdana" w:hAnsi="Verdana" w:cstheme="minorHAnsi"/>
        </w:rPr>
        <w:t xml:space="preserve">, attraverso software specifici e professionisti, rimane sempre importante, ma </w:t>
      </w:r>
      <w:r w:rsidR="001968FC">
        <w:rPr>
          <w:rFonts w:ascii="Verdana" w:hAnsi="Verdana" w:cstheme="minorHAnsi"/>
        </w:rPr>
        <w:t xml:space="preserve">da solo </w:t>
      </w:r>
      <w:r>
        <w:rPr>
          <w:rFonts w:ascii="Verdana" w:hAnsi="Verdana" w:cstheme="minorHAnsi"/>
        </w:rPr>
        <w:t>non è più sufficiente:</w:t>
      </w:r>
      <w:r w:rsidR="001655A6">
        <w:rPr>
          <w:rFonts w:ascii="Verdana" w:hAnsi="Verdana" w:cstheme="minorHAnsi"/>
        </w:rPr>
        <w:t xml:space="preserve"> è necessario </w:t>
      </w:r>
      <w:r w:rsidR="00556FFC">
        <w:rPr>
          <w:rFonts w:ascii="Verdana" w:hAnsi="Verdana" w:cstheme="minorHAnsi"/>
        </w:rPr>
        <w:t>affiancarlo</w:t>
      </w:r>
      <w:r w:rsidR="001655A6">
        <w:rPr>
          <w:rFonts w:ascii="Verdana" w:hAnsi="Verdana" w:cstheme="minorHAnsi"/>
        </w:rPr>
        <w:t xml:space="preserve"> con </w:t>
      </w:r>
      <w:r w:rsidR="001655A6" w:rsidRPr="00A364BD">
        <w:rPr>
          <w:rFonts w:ascii="Verdana" w:hAnsi="Verdana" w:cstheme="minorHAnsi"/>
          <w:b/>
        </w:rPr>
        <w:t>strumenti previsionali intelligenti</w:t>
      </w:r>
      <w:r w:rsidR="001655A6">
        <w:rPr>
          <w:rFonts w:ascii="Verdana" w:hAnsi="Verdana" w:cstheme="minorHAnsi"/>
        </w:rPr>
        <w:t xml:space="preserve"> </w:t>
      </w:r>
      <w:r w:rsidR="00556FFC">
        <w:rPr>
          <w:rFonts w:ascii="Verdana" w:hAnsi="Verdana" w:cstheme="minorHAnsi"/>
        </w:rPr>
        <w:t xml:space="preserve">e </w:t>
      </w:r>
      <w:r w:rsidR="001655A6" w:rsidRPr="00556FFC">
        <w:rPr>
          <w:rFonts w:ascii="Verdana" w:hAnsi="Verdana" w:cstheme="minorHAnsi"/>
          <w:b/>
        </w:rPr>
        <w:t>nuovi indicatori di anomalia</w:t>
      </w:r>
      <w:r w:rsidR="00556FFC">
        <w:rPr>
          <w:rFonts w:ascii="Verdana" w:hAnsi="Verdana" w:cstheme="minorHAnsi"/>
        </w:rPr>
        <w:t xml:space="preserve"> dalla forte capacità predittiva, ovvero in grado di indentificare imprese e soggetti effettivamente colpite da misure patrimoniali, sanzioni ed arresti.</w:t>
      </w:r>
    </w:p>
    <w:p w14:paraId="3E397A4B" w14:textId="77777777" w:rsidR="001968FC" w:rsidRDefault="001968FC" w:rsidP="001968FC">
      <w:pPr>
        <w:spacing w:line="276" w:lineRule="auto"/>
        <w:jc w:val="both"/>
        <w:rPr>
          <w:rFonts w:ascii="Verdana" w:hAnsi="Verdana" w:cstheme="minorHAnsi"/>
        </w:rPr>
      </w:pPr>
    </w:p>
    <w:p w14:paraId="6B949588" w14:textId="5BAFE6B4" w:rsidR="001968FC" w:rsidRDefault="001968FC" w:rsidP="001968FC">
      <w:p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La grande difficoltà, infatti, è la </w:t>
      </w:r>
      <w:r w:rsidRPr="00AD1C00">
        <w:rPr>
          <w:rFonts w:ascii="Verdana" w:hAnsi="Verdana" w:cstheme="minorHAnsi"/>
          <w:b/>
        </w:rPr>
        <w:t>logica di burocratizzazione</w:t>
      </w:r>
      <w:r>
        <w:rPr>
          <w:rFonts w:ascii="Verdana" w:hAnsi="Verdana" w:cstheme="minorHAnsi"/>
        </w:rPr>
        <w:t xml:space="preserve"> che ancora permea i processi di rendicontazione e trasparenza. Questo può comportare facilmente una ripresa più lenta e faticosa, oppure, proprio per poter ripartire in maniera rapida, rischia di indurre a mettere da parte una serie di controlli, a scapito della sicurezza, ed esponendo le aziende a mire di tipo criminale.</w:t>
      </w:r>
    </w:p>
    <w:p w14:paraId="6E476234" w14:textId="438F5E46" w:rsidR="00556FFC" w:rsidRDefault="00556FFC" w:rsidP="0041586E">
      <w:pPr>
        <w:spacing w:line="276" w:lineRule="auto"/>
        <w:jc w:val="both"/>
        <w:rPr>
          <w:rFonts w:ascii="Verdana" w:hAnsi="Verdana" w:cstheme="minorHAnsi"/>
        </w:rPr>
      </w:pPr>
    </w:p>
    <w:p w14:paraId="6E208728" w14:textId="085C21EC" w:rsidR="00556FFC" w:rsidRDefault="001968FC" w:rsidP="0041586E">
      <w:p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I</w:t>
      </w:r>
      <w:r w:rsidR="00556FFC">
        <w:rPr>
          <w:rFonts w:ascii="Verdana" w:hAnsi="Verdana" w:cstheme="minorHAnsi"/>
        </w:rPr>
        <w:t xml:space="preserve">ndicatori </w:t>
      </w:r>
      <w:r>
        <w:rPr>
          <w:rFonts w:ascii="Verdana" w:hAnsi="Verdana" w:cstheme="minorHAnsi"/>
        </w:rPr>
        <w:t xml:space="preserve">come quelli </w:t>
      </w:r>
      <w:r w:rsidR="00556FFC">
        <w:rPr>
          <w:rFonts w:ascii="Verdana" w:hAnsi="Verdana" w:cstheme="minorHAnsi"/>
        </w:rPr>
        <w:t xml:space="preserve">sviluppati da </w:t>
      </w:r>
      <w:proofErr w:type="spellStart"/>
      <w:r w:rsidR="00556FFC">
        <w:rPr>
          <w:rFonts w:ascii="Verdana" w:hAnsi="Verdana" w:cstheme="minorHAnsi"/>
        </w:rPr>
        <w:t>Crime&amp;Tech</w:t>
      </w:r>
      <w:proofErr w:type="spellEnd"/>
      <w:r w:rsidR="00556FFC">
        <w:rPr>
          <w:rFonts w:ascii="Verdana" w:hAnsi="Verdana" w:cstheme="minorHAnsi"/>
        </w:rPr>
        <w:t xml:space="preserve">, e resi disponibili attraverso le soluzioni di Bureau van </w:t>
      </w:r>
      <w:proofErr w:type="spellStart"/>
      <w:r w:rsidR="00556FFC">
        <w:rPr>
          <w:rFonts w:ascii="Verdana" w:hAnsi="Verdana" w:cstheme="minorHAnsi"/>
        </w:rPr>
        <w:t>Dijk</w:t>
      </w:r>
      <w:proofErr w:type="spellEnd"/>
      <w:r w:rsidR="00556FFC">
        <w:rPr>
          <w:rFonts w:ascii="Verdana" w:hAnsi="Verdana" w:cstheme="minorHAnsi"/>
        </w:rPr>
        <w:t xml:space="preserve">, </w:t>
      </w:r>
      <w:r w:rsidR="00556FFC" w:rsidRPr="00A364BD">
        <w:rPr>
          <w:rFonts w:ascii="Verdana" w:hAnsi="Verdana" w:cstheme="minorHAnsi"/>
          <w:b/>
        </w:rPr>
        <w:t xml:space="preserve">possono essere associati ad oltre 360 milioni di imprese a </w:t>
      </w:r>
      <w:r w:rsidR="00556FFC" w:rsidRPr="00A364BD">
        <w:rPr>
          <w:rFonts w:ascii="Verdana" w:hAnsi="Verdana" w:cstheme="minorHAnsi"/>
          <w:b/>
        </w:rPr>
        <w:lastRenderedPageBreak/>
        <w:t>livello globale</w:t>
      </w:r>
      <w:r w:rsidR="00556FFC">
        <w:rPr>
          <w:rFonts w:ascii="Verdana" w:hAnsi="Verdana" w:cstheme="minorHAnsi"/>
        </w:rPr>
        <w:t>, e possono essere integrati nelle banche dati di imprese, istituzioni finanziarie ed enti governativi.</w:t>
      </w:r>
    </w:p>
    <w:p w14:paraId="4F366E2F" w14:textId="77777777" w:rsidR="00B17E68" w:rsidRPr="00B17E68" w:rsidRDefault="00B17E68" w:rsidP="00B17E68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4"/>
          <w:szCs w:val="24"/>
        </w:rPr>
      </w:pPr>
    </w:p>
    <w:p w14:paraId="761E9F84" w14:textId="03A09B16" w:rsidR="00556FFC" w:rsidRDefault="00D42CFE" w:rsidP="00D42CFE">
      <w:p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Bidi"/>
        </w:rPr>
        <w:t>“È</w:t>
      </w:r>
      <w:r w:rsidR="00B17E68" w:rsidRPr="00D42CFE">
        <w:rPr>
          <w:rFonts w:ascii="Verdana" w:hAnsi="Verdana" w:cstheme="minorHAnsi"/>
        </w:rPr>
        <w:t xml:space="preserve"> </w:t>
      </w:r>
      <w:r w:rsidR="00B17E68" w:rsidRPr="00D42CFE">
        <w:rPr>
          <w:rFonts w:ascii="Verdana" w:hAnsi="Verdana" w:cstheme="minorHAnsi"/>
          <w:i/>
        </w:rPr>
        <w:t>fondamentale lavorare seguendo una logica integrata di analisi del rischio, sfruttando tutti gli strumenti a disposizione e studiando ogni possibile scenario. Questi indicatori hanno una forte capacità predittiva, permettono di identificare in anticipo imprese e soggetti poi effettivamente colpiti da misure patrimoniali, sanzioni ed arresti</w:t>
      </w:r>
      <w:r w:rsidR="00B17E68" w:rsidRPr="00D42CFE">
        <w:rPr>
          <w:rFonts w:ascii="Verdana" w:hAnsi="Verdana" w:cstheme="minorHAnsi"/>
        </w:rPr>
        <w:t xml:space="preserve">” spiega </w:t>
      </w:r>
      <w:r w:rsidR="00B17E68" w:rsidRPr="00D42CFE">
        <w:rPr>
          <w:rFonts w:ascii="Verdana" w:hAnsi="Verdana" w:cstheme="minorHAnsi"/>
          <w:b/>
          <w:bCs/>
        </w:rPr>
        <w:t>Carlo Cosimi, Vice presidente ANRA</w:t>
      </w:r>
      <w:r w:rsidR="00B17E68" w:rsidRPr="00D42CFE">
        <w:rPr>
          <w:rFonts w:ascii="Verdana" w:hAnsi="Verdana" w:cstheme="minorHAnsi"/>
        </w:rPr>
        <w:t xml:space="preserve"> </w:t>
      </w:r>
      <w:r w:rsidR="00B17E68" w:rsidRPr="00D42CFE">
        <w:rPr>
          <w:rFonts w:ascii="Verdana" w:hAnsi="Verdana" w:cstheme="minorHAnsi"/>
          <w:i/>
        </w:rPr>
        <w:t xml:space="preserve">“L’adozione e la loro integrazione in sistemi ‘intelligenti’ di triage può rendere i processi di risk </w:t>
      </w:r>
      <w:proofErr w:type="spellStart"/>
      <w:r w:rsidR="00B17E68" w:rsidRPr="00D42CFE">
        <w:rPr>
          <w:rFonts w:ascii="Verdana" w:hAnsi="Verdana" w:cstheme="minorHAnsi"/>
          <w:i/>
        </w:rPr>
        <w:t>assessment</w:t>
      </w:r>
      <w:proofErr w:type="spellEnd"/>
      <w:r>
        <w:rPr>
          <w:rFonts w:ascii="Verdana" w:hAnsi="Verdana" w:cstheme="minorHAnsi"/>
          <w:i/>
        </w:rPr>
        <w:t xml:space="preserve"> allo</w:t>
      </w:r>
      <w:r w:rsidR="00B17E68" w:rsidRPr="00D42CFE">
        <w:rPr>
          <w:rFonts w:ascii="Verdana" w:hAnsi="Verdana" w:cstheme="minorHAnsi"/>
          <w:i/>
        </w:rPr>
        <w:t xml:space="preserve"> stesso tempo più efficaci e più rapidi, all’insegna di un approccio di compliance più ‘light’: un principio fondamentale per potere rilanciare lo sviluppo economico del post-</w:t>
      </w:r>
      <w:proofErr w:type="spellStart"/>
      <w:r w:rsidR="00B17E68" w:rsidRPr="00D42CFE">
        <w:rPr>
          <w:rFonts w:ascii="Verdana" w:hAnsi="Verdana" w:cstheme="minorHAnsi"/>
          <w:i/>
        </w:rPr>
        <w:t>Covid</w:t>
      </w:r>
      <w:proofErr w:type="spellEnd"/>
      <w:r w:rsidR="00B17E68" w:rsidRPr="00D42CFE">
        <w:rPr>
          <w:rFonts w:ascii="Verdana" w:hAnsi="Verdana" w:cstheme="minorHAnsi"/>
          <w:i/>
        </w:rPr>
        <w:t xml:space="preserve"> senza sacrificare la legalità”</w:t>
      </w:r>
      <w:r w:rsidR="00B17E68" w:rsidRPr="00D42CFE">
        <w:rPr>
          <w:rFonts w:ascii="Verdana" w:hAnsi="Verdana" w:cstheme="minorHAnsi"/>
        </w:rPr>
        <w:t>.</w:t>
      </w:r>
    </w:p>
    <w:bookmarkEnd w:id="0"/>
    <w:p w14:paraId="4F5B57B9" w14:textId="77777777" w:rsidR="00556FFC" w:rsidRDefault="00556FFC" w:rsidP="00556FFC">
      <w:pPr>
        <w:spacing w:line="360" w:lineRule="auto"/>
        <w:jc w:val="both"/>
        <w:rPr>
          <w:rFonts w:ascii="Verdana" w:hAnsi="Verdana" w:cstheme="minorHAnsi"/>
        </w:rPr>
      </w:pPr>
    </w:p>
    <w:p w14:paraId="392F082C" w14:textId="77777777" w:rsidR="00093B86" w:rsidRPr="00093B86" w:rsidRDefault="00093B86" w:rsidP="00093B86">
      <w:pPr>
        <w:spacing w:line="276" w:lineRule="auto"/>
        <w:jc w:val="both"/>
        <w:rPr>
          <w:rFonts w:ascii="Verdana" w:hAnsi="Verdana" w:cstheme="minorHAnsi"/>
        </w:rPr>
      </w:pPr>
    </w:p>
    <w:p w14:paraId="1FF7DF95" w14:textId="03490E21" w:rsidR="000D37D0" w:rsidRDefault="000D37D0" w:rsidP="001E117C">
      <w:pPr>
        <w:spacing w:line="276" w:lineRule="auto"/>
        <w:jc w:val="both"/>
        <w:rPr>
          <w:rFonts w:ascii="Verdana" w:hAnsi="Verdana" w:cstheme="minorHAnsi"/>
        </w:rPr>
      </w:pPr>
    </w:p>
    <w:p w14:paraId="24AFC7E7" w14:textId="77777777" w:rsidR="000D37D0" w:rsidRPr="000D37D0" w:rsidRDefault="000D37D0" w:rsidP="001E117C">
      <w:pPr>
        <w:spacing w:line="276" w:lineRule="auto"/>
        <w:jc w:val="both"/>
        <w:rPr>
          <w:rFonts w:ascii="Verdana" w:hAnsi="Verdana" w:cstheme="minorHAnsi"/>
        </w:rPr>
      </w:pPr>
    </w:p>
    <w:p w14:paraId="2342030A" w14:textId="09101059" w:rsidR="00B71A7F" w:rsidRPr="000D37D0" w:rsidRDefault="00B71A7F" w:rsidP="001E117C">
      <w:pPr>
        <w:spacing w:line="276" w:lineRule="auto"/>
        <w:jc w:val="both"/>
        <w:rPr>
          <w:rFonts w:ascii="Verdana" w:hAnsi="Verdana" w:cstheme="minorHAnsi"/>
        </w:rPr>
      </w:pPr>
      <w:r w:rsidRPr="000D37D0">
        <w:rPr>
          <w:rFonts w:ascii="Verdana" w:hAnsi="Verdana" w:cstheme="minorHAnsi"/>
        </w:rPr>
        <w:t xml:space="preserve"> </w:t>
      </w:r>
    </w:p>
    <w:p w14:paraId="4BE10D00" w14:textId="7C465D8D" w:rsidR="00083167" w:rsidRPr="000D37D0" w:rsidRDefault="00083167" w:rsidP="00083167">
      <w:pPr>
        <w:spacing w:after="60"/>
        <w:rPr>
          <w:rFonts w:ascii="Verdana" w:hAnsi="Verdana" w:cs="Arial"/>
          <w:b/>
          <w:sz w:val="18"/>
          <w:szCs w:val="18"/>
        </w:rPr>
      </w:pPr>
      <w:r w:rsidRPr="000D37D0">
        <w:rPr>
          <w:rFonts w:ascii="Verdana" w:hAnsi="Verdana" w:cs="Arial"/>
          <w:b/>
          <w:sz w:val="18"/>
          <w:szCs w:val="18"/>
        </w:rPr>
        <w:t>CHI È ANRA</w:t>
      </w:r>
    </w:p>
    <w:p w14:paraId="13BCA19A" w14:textId="77777777" w:rsidR="00083167" w:rsidRPr="000D37D0" w:rsidRDefault="00083167" w:rsidP="00083167">
      <w:pPr>
        <w:spacing w:after="60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0D37D0">
        <w:rPr>
          <w:rFonts w:ascii="Verdana" w:hAnsi="Verdana" w:cs="Arial"/>
          <w:i/>
          <w:color w:val="333333"/>
          <w:sz w:val="18"/>
          <w:szCs w:val="18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0D37D0">
        <w:rPr>
          <w:rFonts w:ascii="Verdana" w:hAnsi="Verdana" w:cs="Arial"/>
          <w:i/>
          <w:color w:val="333333"/>
          <w:sz w:val="18"/>
          <w:szCs w:val="18"/>
        </w:rPr>
        <w:t>Ifrima</w:t>
      </w:r>
      <w:proofErr w:type="spellEnd"/>
      <w:r w:rsidRPr="000D37D0">
        <w:rPr>
          <w:rFonts w:ascii="Verdana" w:hAnsi="Verdana" w:cs="Arial"/>
          <w:i/>
          <w:color w:val="333333"/>
          <w:sz w:val="18"/>
          <w:szCs w:val="18"/>
        </w:rPr>
        <w:t xml:space="preserve"> a livello internazionale. ANRA è costituita da Risk Officer,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0D37D0">
        <w:rPr>
          <w:rFonts w:ascii="Verdana" w:hAnsi="Verdana" w:cs="Arial"/>
          <w:color w:val="333333"/>
          <w:sz w:val="18"/>
          <w:szCs w:val="18"/>
        </w:rPr>
        <w:t xml:space="preserve"> </w:t>
      </w:r>
    </w:p>
    <w:p w14:paraId="46905A4D" w14:textId="77777777" w:rsidR="00083167" w:rsidRPr="000D37D0" w:rsidRDefault="00083167" w:rsidP="00083167">
      <w:pPr>
        <w:spacing w:after="60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0D37D0">
        <w:rPr>
          <w:rFonts w:ascii="Verdana" w:hAnsi="Verdana" w:cs="Arial"/>
          <w:i/>
          <w:color w:val="333333"/>
          <w:sz w:val="18"/>
          <w:szCs w:val="18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0D37D0">
        <w:rPr>
          <w:rFonts w:ascii="Verdana" w:hAnsi="Verdana" w:cs="Arial"/>
          <w:i/>
          <w:color w:val="333333"/>
          <w:sz w:val="18"/>
          <w:szCs w:val="18"/>
        </w:rPr>
        <w:t>alp</w:t>
      </w:r>
      <w:proofErr w:type="spellEnd"/>
      <w:r w:rsidRPr="000D37D0">
        <w:rPr>
          <w:rFonts w:ascii="Verdana" w:hAnsi="Verdana" w:cs="Arial"/>
          <w:i/>
          <w:color w:val="333333"/>
          <w:sz w:val="18"/>
          <w:szCs w:val="18"/>
        </w:rPr>
        <w:t xml:space="preserve">" - ANRA Learning Path - la nuova Accademia ANRA per la formazione dei professionisti della gestione del rischio, riconosciuta e certificata RIMAP a livello europeo. </w:t>
      </w:r>
      <w:hyperlink r:id="rId8" w:history="1">
        <w:r w:rsidRPr="000D37D0">
          <w:rPr>
            <w:rStyle w:val="Collegamentoipertestuale"/>
            <w:rFonts w:ascii="Verdana" w:hAnsi="Verdana" w:cs="Arial"/>
            <w:sz w:val="18"/>
            <w:szCs w:val="18"/>
          </w:rPr>
          <w:t>www.anra.it</w:t>
        </w:r>
      </w:hyperlink>
    </w:p>
    <w:p w14:paraId="39046C3F" w14:textId="79B98CF1" w:rsidR="00BA5192" w:rsidRPr="000D37D0" w:rsidRDefault="00BA5192"/>
    <w:p w14:paraId="5E60F482" w14:textId="4890FBEA" w:rsidR="00BA5192" w:rsidRPr="000D37D0" w:rsidRDefault="00BA5192"/>
    <w:p w14:paraId="3082C9BF" w14:textId="043B8359" w:rsidR="00083167" w:rsidRPr="000D37D0" w:rsidRDefault="00083167"/>
    <w:p w14:paraId="7A2AA1A1" w14:textId="77777777" w:rsidR="009D3B06" w:rsidRPr="000D37D0" w:rsidRDefault="009D3B06"/>
    <w:p w14:paraId="497364ED" w14:textId="77777777" w:rsidR="00083167" w:rsidRPr="000D37D0" w:rsidRDefault="00083167" w:rsidP="00083167">
      <w:pPr>
        <w:spacing w:after="60"/>
        <w:rPr>
          <w:rFonts w:ascii="Verdana" w:hAnsi="Verdana"/>
          <w:b/>
          <w:sz w:val="21"/>
          <w:szCs w:val="21"/>
        </w:rPr>
      </w:pPr>
      <w:r w:rsidRPr="000D37D0">
        <w:rPr>
          <w:rFonts w:ascii="Verdana" w:hAnsi="Verdana"/>
          <w:b/>
          <w:sz w:val="21"/>
          <w:szCs w:val="21"/>
        </w:rPr>
        <w:t>Per informazioni</w:t>
      </w:r>
    </w:p>
    <w:p w14:paraId="6AF3BBAD" w14:textId="77777777" w:rsidR="00083167" w:rsidRPr="000D37D0" w:rsidRDefault="00083167" w:rsidP="00083167">
      <w:pPr>
        <w:rPr>
          <w:rFonts w:ascii="Verdana" w:hAnsi="Verdana"/>
          <w:sz w:val="21"/>
          <w:szCs w:val="21"/>
        </w:rPr>
      </w:pPr>
      <w:r w:rsidRPr="000D37D0">
        <w:rPr>
          <w:rFonts w:ascii="Verdana" w:hAnsi="Verdana"/>
          <w:sz w:val="21"/>
          <w:szCs w:val="21"/>
        </w:rPr>
        <w:t>Noesis - ufficio stampa ANRA</w:t>
      </w:r>
    </w:p>
    <w:p w14:paraId="2373C50D" w14:textId="77777777" w:rsidR="00083167" w:rsidRPr="000D37D0" w:rsidRDefault="00083167" w:rsidP="00083167">
      <w:pPr>
        <w:rPr>
          <w:rFonts w:ascii="Verdana" w:hAnsi="Verdana"/>
          <w:sz w:val="21"/>
          <w:szCs w:val="21"/>
        </w:rPr>
      </w:pPr>
      <w:r w:rsidRPr="000D37D0">
        <w:rPr>
          <w:rFonts w:ascii="Verdana" w:hAnsi="Verdana"/>
          <w:sz w:val="21"/>
          <w:szCs w:val="21"/>
        </w:rPr>
        <w:t>Elena Cerutti, Eleonora Carminati</w:t>
      </w:r>
    </w:p>
    <w:p w14:paraId="2B5B3819" w14:textId="547BC449" w:rsidR="00083167" w:rsidRPr="000D37D0" w:rsidRDefault="00083167" w:rsidP="00083167">
      <w:pPr>
        <w:rPr>
          <w:rFonts w:ascii="Verdana" w:hAnsi="Verdana"/>
          <w:sz w:val="21"/>
          <w:szCs w:val="21"/>
        </w:rPr>
      </w:pPr>
      <w:r w:rsidRPr="000D37D0">
        <w:rPr>
          <w:rFonts w:ascii="Verdana" w:hAnsi="Verdana"/>
          <w:sz w:val="21"/>
          <w:szCs w:val="21"/>
        </w:rPr>
        <w:t xml:space="preserve">T. 348.3175490 – </w:t>
      </w:r>
      <w:r w:rsidR="007B702B" w:rsidRPr="000D37D0">
        <w:rPr>
          <w:rFonts w:ascii="Verdana" w:hAnsi="Verdana"/>
          <w:sz w:val="21"/>
          <w:szCs w:val="21"/>
        </w:rPr>
        <w:t>331.3436611</w:t>
      </w:r>
    </w:p>
    <w:p w14:paraId="6583EFA5" w14:textId="77777777" w:rsidR="00083167" w:rsidRPr="00B72B1C" w:rsidRDefault="0030354F" w:rsidP="00083167">
      <w:pPr>
        <w:rPr>
          <w:rFonts w:ascii="Verdana" w:hAnsi="Verdana"/>
          <w:sz w:val="21"/>
          <w:szCs w:val="21"/>
        </w:rPr>
      </w:pPr>
      <w:hyperlink r:id="rId9" w:history="1">
        <w:r w:rsidR="00083167" w:rsidRPr="000D37D0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083167" w:rsidRPr="00B72B1C">
        <w:rPr>
          <w:rFonts w:ascii="Verdana" w:hAnsi="Verdana"/>
          <w:sz w:val="21"/>
          <w:szCs w:val="21"/>
        </w:rPr>
        <w:t xml:space="preserve"> </w:t>
      </w:r>
    </w:p>
    <w:p w14:paraId="3A99469E" w14:textId="77777777" w:rsidR="00083167" w:rsidRDefault="00083167"/>
    <w:sectPr w:rsidR="00083167" w:rsidSect="00141647">
      <w:headerReference w:type="default" r:id="rId10"/>
      <w:pgSz w:w="11906" w:h="16838"/>
      <w:pgMar w:top="1417" w:right="1134" w:bottom="1134" w:left="1134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60A10" w14:textId="77777777" w:rsidR="0030354F" w:rsidRDefault="0030354F" w:rsidP="00083167">
      <w:r>
        <w:separator/>
      </w:r>
    </w:p>
  </w:endnote>
  <w:endnote w:type="continuationSeparator" w:id="0">
    <w:p w14:paraId="18FB2B96" w14:textId="77777777" w:rsidR="0030354F" w:rsidRDefault="0030354F" w:rsidP="0008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ADF5C" w14:textId="77777777" w:rsidR="0030354F" w:rsidRDefault="0030354F" w:rsidP="00083167">
      <w:r>
        <w:separator/>
      </w:r>
    </w:p>
  </w:footnote>
  <w:footnote w:type="continuationSeparator" w:id="0">
    <w:p w14:paraId="24D006D6" w14:textId="77777777" w:rsidR="0030354F" w:rsidRDefault="0030354F" w:rsidP="0008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217F" w14:textId="768781A0" w:rsidR="00985200" w:rsidRDefault="0098520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784D1DB" wp14:editId="138670F8">
          <wp:simplePos x="0" y="0"/>
          <wp:positionH relativeFrom="margin">
            <wp:align>center</wp:align>
          </wp:positionH>
          <wp:positionV relativeFrom="margin">
            <wp:posOffset>-1133475</wp:posOffset>
          </wp:positionV>
          <wp:extent cx="3460750" cy="862965"/>
          <wp:effectExtent l="0" t="0" r="635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75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301E"/>
    <w:multiLevelType w:val="hybridMultilevel"/>
    <w:tmpl w:val="63E8180A"/>
    <w:lvl w:ilvl="0" w:tplc="93B85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A9554">
      <w:start w:val="6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46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AA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01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E8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2A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C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0E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BE0525"/>
    <w:multiLevelType w:val="hybridMultilevel"/>
    <w:tmpl w:val="0F0A77CE"/>
    <w:lvl w:ilvl="0" w:tplc="B59A7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8F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EA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C8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48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4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EB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C2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08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5762A0"/>
    <w:multiLevelType w:val="hybridMultilevel"/>
    <w:tmpl w:val="AA864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13C7E"/>
    <w:multiLevelType w:val="hybridMultilevel"/>
    <w:tmpl w:val="DA78B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85"/>
    <w:rsid w:val="00036343"/>
    <w:rsid w:val="00067EF0"/>
    <w:rsid w:val="00071E35"/>
    <w:rsid w:val="00075ECE"/>
    <w:rsid w:val="00083167"/>
    <w:rsid w:val="00090429"/>
    <w:rsid w:val="00093B86"/>
    <w:rsid w:val="000B48F8"/>
    <w:rsid w:val="000C11B1"/>
    <w:rsid w:val="000C2FB2"/>
    <w:rsid w:val="000D37D0"/>
    <w:rsid w:val="00141647"/>
    <w:rsid w:val="001655A6"/>
    <w:rsid w:val="00166EF6"/>
    <w:rsid w:val="00172F37"/>
    <w:rsid w:val="00194F61"/>
    <w:rsid w:val="001968FC"/>
    <w:rsid w:val="001A0849"/>
    <w:rsid w:val="001D43AB"/>
    <w:rsid w:val="001E117C"/>
    <w:rsid w:val="00275D2C"/>
    <w:rsid w:val="002846FC"/>
    <w:rsid w:val="002E105A"/>
    <w:rsid w:val="0030354F"/>
    <w:rsid w:val="0031283F"/>
    <w:rsid w:val="00314FD7"/>
    <w:rsid w:val="003202E5"/>
    <w:rsid w:val="003270A4"/>
    <w:rsid w:val="00354F5D"/>
    <w:rsid w:val="003C52D1"/>
    <w:rsid w:val="00412DE8"/>
    <w:rsid w:val="0041586E"/>
    <w:rsid w:val="00484CF4"/>
    <w:rsid w:val="004879A9"/>
    <w:rsid w:val="004E7C00"/>
    <w:rsid w:val="0052310A"/>
    <w:rsid w:val="00523CF1"/>
    <w:rsid w:val="00551E26"/>
    <w:rsid w:val="00556FFC"/>
    <w:rsid w:val="00570B53"/>
    <w:rsid w:val="005A21DA"/>
    <w:rsid w:val="005E304B"/>
    <w:rsid w:val="00625F22"/>
    <w:rsid w:val="006509E3"/>
    <w:rsid w:val="00657BFC"/>
    <w:rsid w:val="006D22E8"/>
    <w:rsid w:val="006F1328"/>
    <w:rsid w:val="00700543"/>
    <w:rsid w:val="00704C5D"/>
    <w:rsid w:val="00705A4A"/>
    <w:rsid w:val="00753DDB"/>
    <w:rsid w:val="00760C89"/>
    <w:rsid w:val="00774F76"/>
    <w:rsid w:val="00776255"/>
    <w:rsid w:val="007B5FAF"/>
    <w:rsid w:val="007B702B"/>
    <w:rsid w:val="007C1485"/>
    <w:rsid w:val="0080189C"/>
    <w:rsid w:val="008152E2"/>
    <w:rsid w:val="008474A7"/>
    <w:rsid w:val="008715EA"/>
    <w:rsid w:val="008930D0"/>
    <w:rsid w:val="008B5348"/>
    <w:rsid w:val="008D494C"/>
    <w:rsid w:val="008D6FD1"/>
    <w:rsid w:val="008F22EC"/>
    <w:rsid w:val="00920AD8"/>
    <w:rsid w:val="009334E0"/>
    <w:rsid w:val="00934A09"/>
    <w:rsid w:val="00945FE0"/>
    <w:rsid w:val="00985200"/>
    <w:rsid w:val="00996E6E"/>
    <w:rsid w:val="009C1592"/>
    <w:rsid w:val="009C297B"/>
    <w:rsid w:val="009C71AE"/>
    <w:rsid w:val="009D3B06"/>
    <w:rsid w:val="009D5000"/>
    <w:rsid w:val="009E1425"/>
    <w:rsid w:val="009E581A"/>
    <w:rsid w:val="009F5E58"/>
    <w:rsid w:val="00A079BA"/>
    <w:rsid w:val="00A113CE"/>
    <w:rsid w:val="00A364BD"/>
    <w:rsid w:val="00A46AE8"/>
    <w:rsid w:val="00A62C9F"/>
    <w:rsid w:val="00AD1C00"/>
    <w:rsid w:val="00AE0989"/>
    <w:rsid w:val="00B17E68"/>
    <w:rsid w:val="00B5708C"/>
    <w:rsid w:val="00B61480"/>
    <w:rsid w:val="00B71A7F"/>
    <w:rsid w:val="00B85BC5"/>
    <w:rsid w:val="00B9412B"/>
    <w:rsid w:val="00B949CD"/>
    <w:rsid w:val="00BA5192"/>
    <w:rsid w:val="00BB14A0"/>
    <w:rsid w:val="00BF1CDE"/>
    <w:rsid w:val="00C11A13"/>
    <w:rsid w:val="00C214A9"/>
    <w:rsid w:val="00C344C4"/>
    <w:rsid w:val="00C5153A"/>
    <w:rsid w:val="00C6483D"/>
    <w:rsid w:val="00C674FF"/>
    <w:rsid w:val="00C833A8"/>
    <w:rsid w:val="00CC3E13"/>
    <w:rsid w:val="00CD0652"/>
    <w:rsid w:val="00D235DE"/>
    <w:rsid w:val="00D311CB"/>
    <w:rsid w:val="00D41BB8"/>
    <w:rsid w:val="00D42CFE"/>
    <w:rsid w:val="00D63D3B"/>
    <w:rsid w:val="00DC3390"/>
    <w:rsid w:val="00DF57CA"/>
    <w:rsid w:val="00E00D57"/>
    <w:rsid w:val="00E116E0"/>
    <w:rsid w:val="00EF6C82"/>
    <w:rsid w:val="00EF70B4"/>
    <w:rsid w:val="00F11B44"/>
    <w:rsid w:val="00F627FF"/>
    <w:rsid w:val="00F8091E"/>
    <w:rsid w:val="00F919FA"/>
    <w:rsid w:val="00FC7737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A4019"/>
  <w15:chartTrackingRefBased/>
  <w15:docId w15:val="{52AE673F-5DFD-44B2-AE89-0F43D46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7F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52E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83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167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83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167"/>
    <w:rPr>
      <w:rFonts w:ascii="Calibri" w:hAnsi="Calibri" w:cs="Calibri"/>
    </w:rPr>
  </w:style>
  <w:style w:type="paragraph" w:styleId="Paragrafoelenco">
    <w:name w:val="List Paragraph"/>
    <w:basedOn w:val="Normale"/>
    <w:uiPriority w:val="34"/>
    <w:qFormat/>
    <w:rsid w:val="00FC773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A51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5192"/>
    <w:rPr>
      <w:b/>
      <w:bCs/>
    </w:rPr>
  </w:style>
  <w:style w:type="character" w:customStyle="1" w:styleId="style-ckeditor">
    <w:name w:val="style-ckeditor"/>
    <w:basedOn w:val="Carpredefinitoparagrafo"/>
    <w:rsid w:val="00BA519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1E3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2F37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715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15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15EA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15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15EA"/>
    <w:rPr>
      <w:rFonts w:ascii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5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5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6FF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556FFC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56FFC"/>
    <w:rPr>
      <w:rFonts w:cs="Open San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9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434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723">
          <w:marLeft w:val="12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505">
          <w:marLeft w:val="12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490">
          <w:marLeft w:val="12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445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261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775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85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329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320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49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690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192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717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425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711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ra@noesi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3B10-7DCE-4348-8391-EBC74638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Zaccariotto</dc:creator>
  <cp:keywords/>
  <dc:description/>
  <cp:lastModifiedBy>Maria Moro</cp:lastModifiedBy>
  <cp:revision>2</cp:revision>
  <dcterms:created xsi:type="dcterms:W3CDTF">2020-05-19T14:14:00Z</dcterms:created>
  <dcterms:modified xsi:type="dcterms:W3CDTF">2020-05-19T14:14:00Z</dcterms:modified>
</cp:coreProperties>
</file>