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8037C" w14:textId="77777777" w:rsidR="00717B28" w:rsidRDefault="00717B28" w:rsidP="00A8673F">
      <w:pPr>
        <w:spacing w:line="276" w:lineRule="auto"/>
        <w:jc w:val="center"/>
        <w:rPr>
          <w:rFonts w:ascii="Verdana" w:hAnsi="Verdana" w:cstheme="minorHAnsi"/>
          <w:b/>
        </w:rPr>
      </w:pPr>
    </w:p>
    <w:p w14:paraId="229A8A5A" w14:textId="5D2DD382" w:rsidR="00A8673F" w:rsidRPr="00CD5495" w:rsidRDefault="003C474E" w:rsidP="00A8673F">
      <w:pPr>
        <w:spacing w:line="276" w:lineRule="auto"/>
        <w:jc w:val="center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RISCHI CATASTROFALI:</w:t>
      </w:r>
      <w:r>
        <w:rPr>
          <w:rFonts w:ascii="Verdana" w:hAnsi="Verdana" w:cstheme="minorHAnsi"/>
          <w:b/>
        </w:rPr>
        <w:br/>
        <w:t xml:space="preserve">IL 96% DELLE AZIENDE ASSICURATE SI AFFIDA A UNA </w:t>
      </w:r>
      <w:r w:rsidR="00756489">
        <w:rPr>
          <w:rFonts w:ascii="Verdana" w:hAnsi="Verdana" w:cstheme="minorHAnsi"/>
          <w:b/>
        </w:rPr>
        <w:t xml:space="preserve">POLIZZA </w:t>
      </w:r>
      <w:r>
        <w:rPr>
          <w:rFonts w:ascii="Verdana" w:hAnsi="Verdana" w:cstheme="minorHAnsi"/>
          <w:b/>
        </w:rPr>
        <w:t>GENERICA, SOLO IL 17% ADOTTA MISURE PIÙ MIRATE</w:t>
      </w:r>
    </w:p>
    <w:p w14:paraId="37D93459" w14:textId="116EFA57" w:rsidR="00422556" w:rsidRDefault="003C474E" w:rsidP="00A8673F">
      <w:pPr>
        <w:spacing w:line="276" w:lineRule="auto"/>
        <w:jc w:val="center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L’indagine di ANRA e delle Università italiane fa</w:t>
      </w:r>
      <w:r w:rsidR="00FC5396">
        <w:rPr>
          <w:rFonts w:ascii="Verdana" w:hAnsi="Verdana" w:cstheme="minorHAnsi"/>
          <w:b/>
        </w:rPr>
        <w:t xml:space="preserve"> il punto della situazione nel nostro Paese, sottolineando le opportunità offerte dai</w:t>
      </w:r>
      <w:r>
        <w:rPr>
          <w:rFonts w:ascii="Verdana" w:hAnsi="Verdana" w:cstheme="minorHAnsi"/>
          <w:b/>
        </w:rPr>
        <w:t xml:space="preserve"> CAT bond</w:t>
      </w:r>
    </w:p>
    <w:p w14:paraId="24FF5209" w14:textId="77777777" w:rsidR="00F346C8" w:rsidRPr="00D77124" w:rsidRDefault="00F346C8" w:rsidP="00D77124">
      <w:pPr>
        <w:spacing w:after="60" w:line="276" w:lineRule="auto"/>
        <w:jc w:val="both"/>
        <w:rPr>
          <w:rFonts w:ascii="Verdana" w:hAnsi="Verdana"/>
          <w:i/>
          <w:sz w:val="21"/>
          <w:szCs w:val="21"/>
        </w:rPr>
      </w:pPr>
    </w:p>
    <w:p w14:paraId="19318D81" w14:textId="1FB55566" w:rsidR="005533D2" w:rsidRDefault="00FE047D" w:rsidP="00D2409E">
      <w:pPr>
        <w:spacing w:after="0" w:line="276" w:lineRule="auto"/>
        <w:jc w:val="both"/>
        <w:rPr>
          <w:rFonts w:ascii="Verdana" w:hAnsi="Verdana"/>
          <w:bCs/>
          <w:sz w:val="21"/>
          <w:szCs w:val="21"/>
        </w:rPr>
      </w:pPr>
      <w:r w:rsidRPr="00D77124">
        <w:rPr>
          <w:rFonts w:ascii="Verdana" w:hAnsi="Verdana"/>
          <w:i/>
          <w:sz w:val="21"/>
          <w:szCs w:val="21"/>
        </w:rPr>
        <w:t xml:space="preserve">Milano, </w:t>
      </w:r>
      <w:r w:rsidR="008A6F2C">
        <w:rPr>
          <w:rFonts w:ascii="Verdana" w:hAnsi="Verdana"/>
          <w:i/>
          <w:sz w:val="21"/>
          <w:szCs w:val="21"/>
        </w:rPr>
        <w:t>3</w:t>
      </w:r>
      <w:bookmarkStart w:id="0" w:name="_GoBack"/>
      <w:bookmarkEnd w:id="0"/>
      <w:r w:rsidRPr="00D77124">
        <w:rPr>
          <w:rFonts w:ascii="Verdana" w:hAnsi="Verdana"/>
          <w:i/>
          <w:sz w:val="21"/>
          <w:szCs w:val="21"/>
        </w:rPr>
        <w:t xml:space="preserve"> </w:t>
      </w:r>
      <w:r w:rsidR="0011147A">
        <w:rPr>
          <w:rFonts w:ascii="Verdana" w:hAnsi="Verdana"/>
          <w:i/>
          <w:sz w:val="21"/>
          <w:szCs w:val="21"/>
        </w:rPr>
        <w:t>marzo</w:t>
      </w:r>
      <w:r w:rsidRPr="00D77124">
        <w:rPr>
          <w:rFonts w:ascii="Verdana" w:hAnsi="Verdana"/>
          <w:i/>
          <w:sz w:val="21"/>
          <w:szCs w:val="21"/>
        </w:rPr>
        <w:t xml:space="preserve"> 202</w:t>
      </w:r>
      <w:r w:rsidR="00B7606E">
        <w:rPr>
          <w:rFonts w:ascii="Verdana" w:hAnsi="Verdana"/>
          <w:i/>
          <w:sz w:val="21"/>
          <w:szCs w:val="21"/>
        </w:rPr>
        <w:t>1</w:t>
      </w:r>
      <w:r w:rsidRPr="00D77124">
        <w:rPr>
          <w:rFonts w:ascii="Verdana" w:hAnsi="Verdana"/>
          <w:sz w:val="21"/>
          <w:szCs w:val="21"/>
        </w:rPr>
        <w:t xml:space="preserve"> – </w:t>
      </w:r>
      <w:r w:rsidR="00730B8C">
        <w:rPr>
          <w:rFonts w:ascii="Verdana" w:hAnsi="Verdana"/>
          <w:sz w:val="21"/>
          <w:szCs w:val="21"/>
        </w:rPr>
        <w:t>A livello globale, l</w:t>
      </w:r>
      <w:r w:rsidR="00730B8C" w:rsidRPr="00730B8C">
        <w:rPr>
          <w:rFonts w:ascii="Verdana" w:hAnsi="Verdana"/>
          <w:sz w:val="21"/>
          <w:szCs w:val="21"/>
        </w:rPr>
        <w:t xml:space="preserve">e perdite del settore assicurativo da catastrofi naturali e disastri causati dall'uomo </w:t>
      </w:r>
      <w:r w:rsidR="00730B8C">
        <w:rPr>
          <w:rFonts w:ascii="Verdana" w:hAnsi="Verdana"/>
          <w:sz w:val="21"/>
          <w:szCs w:val="21"/>
        </w:rPr>
        <w:t>ammontano</w:t>
      </w:r>
      <w:r w:rsidR="00730B8C" w:rsidRPr="00730B8C">
        <w:rPr>
          <w:rFonts w:ascii="Verdana" w:hAnsi="Verdana"/>
          <w:sz w:val="21"/>
          <w:szCs w:val="21"/>
        </w:rPr>
        <w:t xml:space="preserve"> a 83 miliardi di dollari nel 2020</w:t>
      </w:r>
      <w:r w:rsidR="0084074C">
        <w:rPr>
          <w:rStyle w:val="Rimandonotaapidipagina"/>
          <w:rFonts w:ascii="Verdana" w:hAnsi="Verdana"/>
          <w:sz w:val="21"/>
          <w:szCs w:val="21"/>
        </w:rPr>
        <w:footnoteReference w:id="1"/>
      </w:r>
      <w:r w:rsidR="008E6E92">
        <w:rPr>
          <w:rFonts w:ascii="Verdana" w:hAnsi="Verdana"/>
          <w:sz w:val="21"/>
          <w:szCs w:val="21"/>
        </w:rPr>
        <w:t xml:space="preserve">. </w:t>
      </w:r>
      <w:r w:rsidR="005533D2">
        <w:rPr>
          <w:rFonts w:ascii="Verdana" w:hAnsi="Verdana"/>
          <w:sz w:val="21"/>
          <w:szCs w:val="21"/>
        </w:rPr>
        <w:t>L’</w:t>
      </w:r>
      <w:r w:rsidR="00FE0A66">
        <w:rPr>
          <w:rFonts w:ascii="Verdana" w:hAnsi="Verdana"/>
          <w:bCs/>
          <w:sz w:val="21"/>
          <w:szCs w:val="21"/>
        </w:rPr>
        <w:t>Italia</w:t>
      </w:r>
      <w:r w:rsidR="00756489">
        <w:rPr>
          <w:rFonts w:ascii="Verdana" w:hAnsi="Verdana"/>
          <w:bCs/>
          <w:sz w:val="21"/>
          <w:szCs w:val="21"/>
        </w:rPr>
        <w:t>, nonostante</w:t>
      </w:r>
      <w:r w:rsidR="00FE0A66">
        <w:rPr>
          <w:rFonts w:ascii="Verdana" w:hAnsi="Verdana"/>
          <w:bCs/>
          <w:sz w:val="21"/>
          <w:szCs w:val="21"/>
        </w:rPr>
        <w:t xml:space="preserve"> </w:t>
      </w:r>
      <w:r w:rsidR="00756489">
        <w:rPr>
          <w:rFonts w:ascii="Verdana" w:hAnsi="Verdana"/>
          <w:bCs/>
          <w:sz w:val="21"/>
          <w:szCs w:val="21"/>
        </w:rPr>
        <w:t xml:space="preserve">la forte esposizione </w:t>
      </w:r>
      <w:r w:rsidR="006F2269">
        <w:rPr>
          <w:rFonts w:ascii="Verdana" w:hAnsi="Verdana"/>
          <w:bCs/>
          <w:sz w:val="21"/>
          <w:szCs w:val="21"/>
        </w:rPr>
        <w:t xml:space="preserve">a fenomeni geologici e climatici estremi, </w:t>
      </w:r>
      <w:r w:rsidR="005533D2">
        <w:rPr>
          <w:rFonts w:ascii="Verdana" w:hAnsi="Verdana"/>
          <w:bCs/>
          <w:sz w:val="21"/>
          <w:szCs w:val="21"/>
        </w:rPr>
        <w:t xml:space="preserve">fa un uso ancora limitato </w:t>
      </w:r>
      <w:r w:rsidR="006F2269">
        <w:rPr>
          <w:rFonts w:ascii="Verdana" w:hAnsi="Verdana"/>
          <w:bCs/>
          <w:sz w:val="21"/>
          <w:szCs w:val="21"/>
        </w:rPr>
        <w:t xml:space="preserve">di strumenti assicurativi </w:t>
      </w:r>
      <w:r w:rsidR="00A01196">
        <w:rPr>
          <w:rFonts w:ascii="Verdana" w:hAnsi="Verdana"/>
          <w:bCs/>
          <w:sz w:val="21"/>
          <w:szCs w:val="21"/>
        </w:rPr>
        <w:t>specializzati</w:t>
      </w:r>
      <w:r w:rsidR="00F61724">
        <w:rPr>
          <w:rFonts w:ascii="Verdana" w:hAnsi="Verdana"/>
          <w:bCs/>
          <w:sz w:val="21"/>
          <w:szCs w:val="21"/>
        </w:rPr>
        <w:t xml:space="preserve"> </w:t>
      </w:r>
      <w:r w:rsidR="006F2269">
        <w:rPr>
          <w:rFonts w:ascii="Verdana" w:hAnsi="Verdana"/>
          <w:bCs/>
          <w:sz w:val="21"/>
          <w:szCs w:val="21"/>
        </w:rPr>
        <w:t>a tutela di privati ed aziende</w:t>
      </w:r>
      <w:r w:rsidR="005533D2">
        <w:rPr>
          <w:rFonts w:ascii="Verdana" w:hAnsi="Verdana"/>
          <w:bCs/>
          <w:sz w:val="21"/>
          <w:szCs w:val="21"/>
        </w:rPr>
        <w:t xml:space="preserve">, al punto che il Paese </w:t>
      </w:r>
      <w:r w:rsidR="005533D2">
        <w:rPr>
          <w:rFonts w:ascii="Verdana" w:hAnsi="Verdana"/>
          <w:sz w:val="21"/>
          <w:szCs w:val="21"/>
        </w:rPr>
        <w:t>vanta il triste primato del maggior deficit di protezione per le calamità naturali in Europa, con solo il 3,2% delle perdite assicurato (dati Swiss RE).</w:t>
      </w:r>
    </w:p>
    <w:p w14:paraId="4FF69296" w14:textId="2C8F86C2" w:rsidR="0037135E" w:rsidRDefault="006F2269" w:rsidP="00D2409E">
      <w:pPr>
        <w:spacing w:after="0" w:line="276" w:lineRule="auto"/>
        <w:jc w:val="both"/>
        <w:rPr>
          <w:rFonts w:ascii="Verdana" w:hAnsi="Verdana"/>
          <w:bCs/>
          <w:sz w:val="21"/>
          <w:szCs w:val="21"/>
        </w:rPr>
      </w:pPr>
      <w:r w:rsidRPr="006F2269">
        <w:rPr>
          <w:rFonts w:ascii="Verdana" w:hAnsi="Verdana"/>
          <w:b/>
          <w:bCs/>
          <w:sz w:val="21"/>
          <w:szCs w:val="21"/>
        </w:rPr>
        <w:t>ANRA, Associazione Nazionale dei Risk Manager e Responsabili Assicurazioni Aziendali</w:t>
      </w:r>
      <w:r>
        <w:rPr>
          <w:rFonts w:ascii="Verdana" w:hAnsi="Verdana"/>
          <w:bCs/>
          <w:sz w:val="21"/>
          <w:szCs w:val="21"/>
        </w:rPr>
        <w:t xml:space="preserve">, ha condotto </w:t>
      </w:r>
      <w:r w:rsidR="00F61724">
        <w:rPr>
          <w:rFonts w:ascii="Verdana" w:hAnsi="Verdana"/>
          <w:bCs/>
          <w:sz w:val="21"/>
          <w:szCs w:val="21"/>
        </w:rPr>
        <w:t xml:space="preserve">con </w:t>
      </w:r>
      <w:bookmarkStart w:id="1" w:name="_Hlk64899260"/>
      <w:r w:rsidRPr="006F2269">
        <w:rPr>
          <w:rFonts w:ascii="Verdana" w:hAnsi="Verdana"/>
          <w:b/>
          <w:bCs/>
          <w:sz w:val="21"/>
          <w:szCs w:val="21"/>
        </w:rPr>
        <w:t>Università degli Studi di Milano, Università di Parma e Università degli Studi di Firenze</w:t>
      </w:r>
      <w:bookmarkEnd w:id="1"/>
      <w:r>
        <w:rPr>
          <w:rFonts w:ascii="Verdana" w:hAnsi="Verdana"/>
          <w:bCs/>
          <w:sz w:val="21"/>
          <w:szCs w:val="21"/>
        </w:rPr>
        <w:t xml:space="preserve"> </w:t>
      </w:r>
      <w:r w:rsidR="00F61724">
        <w:rPr>
          <w:rFonts w:ascii="Verdana" w:hAnsi="Verdana"/>
          <w:bCs/>
          <w:sz w:val="21"/>
          <w:szCs w:val="21"/>
        </w:rPr>
        <w:t xml:space="preserve">una ricerca </w:t>
      </w:r>
      <w:r>
        <w:rPr>
          <w:rFonts w:ascii="Verdana" w:hAnsi="Verdana"/>
          <w:bCs/>
          <w:sz w:val="21"/>
          <w:szCs w:val="21"/>
        </w:rPr>
        <w:t xml:space="preserve">per </w:t>
      </w:r>
      <w:r w:rsidR="005533D2">
        <w:rPr>
          <w:rFonts w:ascii="Verdana" w:hAnsi="Verdana"/>
          <w:bCs/>
          <w:sz w:val="21"/>
          <w:szCs w:val="21"/>
        </w:rPr>
        <w:t xml:space="preserve">fare il punto su questo </w:t>
      </w:r>
      <w:r>
        <w:rPr>
          <w:rFonts w:ascii="Verdana" w:hAnsi="Verdana"/>
          <w:bCs/>
          <w:sz w:val="21"/>
          <w:szCs w:val="21"/>
        </w:rPr>
        <w:t>fenomeno</w:t>
      </w:r>
      <w:r w:rsidR="00AE4B91">
        <w:rPr>
          <w:rFonts w:ascii="Verdana" w:hAnsi="Verdana"/>
          <w:bCs/>
          <w:sz w:val="21"/>
          <w:szCs w:val="21"/>
        </w:rPr>
        <w:t>.</w:t>
      </w:r>
    </w:p>
    <w:p w14:paraId="5C06BE6D" w14:textId="2FE148E6" w:rsidR="000C0D02" w:rsidRDefault="000C0D02" w:rsidP="00D2409E">
      <w:pPr>
        <w:spacing w:after="0" w:line="276" w:lineRule="auto"/>
        <w:jc w:val="both"/>
        <w:rPr>
          <w:rFonts w:ascii="Verdana" w:hAnsi="Verdana"/>
          <w:bCs/>
          <w:sz w:val="21"/>
          <w:szCs w:val="21"/>
        </w:rPr>
      </w:pPr>
    </w:p>
    <w:p w14:paraId="70B67DE4" w14:textId="4CCC46C1" w:rsidR="00AE4B91" w:rsidRDefault="00AE4B91" w:rsidP="00D66A78">
      <w:pPr>
        <w:spacing w:line="276" w:lineRule="auto"/>
        <w:jc w:val="both"/>
        <w:rPr>
          <w:rFonts w:ascii="Verdana" w:hAnsi="Verdana"/>
          <w:bCs/>
          <w:sz w:val="21"/>
          <w:szCs w:val="21"/>
        </w:rPr>
      </w:pPr>
      <w:r>
        <w:rPr>
          <w:rFonts w:ascii="Verdana" w:hAnsi="Verdana"/>
          <w:bCs/>
          <w:sz w:val="21"/>
          <w:szCs w:val="21"/>
        </w:rPr>
        <w:t xml:space="preserve">ESPOSIZIONE E PERCEZIONE </w:t>
      </w:r>
      <w:r w:rsidR="008F1056">
        <w:rPr>
          <w:rFonts w:ascii="Verdana" w:hAnsi="Verdana"/>
          <w:bCs/>
          <w:sz w:val="21"/>
          <w:szCs w:val="21"/>
        </w:rPr>
        <w:t>DE</w:t>
      </w:r>
      <w:r>
        <w:rPr>
          <w:rFonts w:ascii="Verdana" w:hAnsi="Verdana"/>
          <w:bCs/>
          <w:sz w:val="21"/>
          <w:szCs w:val="21"/>
        </w:rPr>
        <w:t>I RISCHI</w:t>
      </w:r>
    </w:p>
    <w:p w14:paraId="194136E9" w14:textId="798FCC9F" w:rsidR="00FF2D4C" w:rsidRDefault="00FF2D4C" w:rsidP="00B7606E">
      <w:pPr>
        <w:spacing w:after="120" w:line="276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La </w:t>
      </w:r>
      <w:r w:rsidR="00756489">
        <w:rPr>
          <w:rFonts w:ascii="Verdana" w:hAnsi="Verdana"/>
          <w:sz w:val="21"/>
          <w:szCs w:val="21"/>
        </w:rPr>
        <w:t xml:space="preserve">percezione </w:t>
      </w:r>
      <w:r>
        <w:rPr>
          <w:rFonts w:ascii="Verdana" w:hAnsi="Verdana"/>
          <w:sz w:val="21"/>
          <w:szCs w:val="21"/>
        </w:rPr>
        <w:t>del rischio</w:t>
      </w:r>
      <w:r w:rsidR="005533D2">
        <w:rPr>
          <w:rFonts w:ascii="Verdana" w:hAnsi="Verdana"/>
          <w:sz w:val="21"/>
          <w:szCs w:val="21"/>
        </w:rPr>
        <w:t>, a livello aziendale, in realtà</w:t>
      </w:r>
      <w:r>
        <w:rPr>
          <w:rFonts w:ascii="Verdana" w:hAnsi="Verdana"/>
          <w:sz w:val="21"/>
          <w:szCs w:val="21"/>
        </w:rPr>
        <w:t xml:space="preserve"> </w:t>
      </w:r>
      <w:r w:rsidR="003F5082">
        <w:rPr>
          <w:rFonts w:ascii="Verdana" w:hAnsi="Verdana"/>
          <w:sz w:val="21"/>
          <w:szCs w:val="21"/>
        </w:rPr>
        <w:t>è migliore del previsto</w:t>
      </w:r>
      <w:r>
        <w:rPr>
          <w:rFonts w:ascii="Verdana" w:hAnsi="Verdana"/>
          <w:sz w:val="21"/>
          <w:szCs w:val="21"/>
        </w:rPr>
        <w:t>: l</w:t>
      </w:r>
      <w:r w:rsidR="00A635E1">
        <w:rPr>
          <w:rFonts w:ascii="Verdana" w:hAnsi="Verdana"/>
          <w:sz w:val="21"/>
          <w:szCs w:val="21"/>
        </w:rPr>
        <w:t>’indagine ha</w:t>
      </w:r>
      <w:r w:rsidR="00E07BE6">
        <w:rPr>
          <w:rFonts w:ascii="Verdana" w:hAnsi="Verdana"/>
          <w:sz w:val="21"/>
          <w:szCs w:val="21"/>
        </w:rPr>
        <w:t>,</w:t>
      </w:r>
      <w:r>
        <w:rPr>
          <w:rFonts w:ascii="Verdana" w:hAnsi="Verdana"/>
          <w:sz w:val="21"/>
          <w:szCs w:val="21"/>
        </w:rPr>
        <w:t xml:space="preserve"> infatti</w:t>
      </w:r>
      <w:r w:rsidR="00E07BE6">
        <w:rPr>
          <w:rFonts w:ascii="Verdana" w:hAnsi="Verdana"/>
          <w:sz w:val="21"/>
          <w:szCs w:val="21"/>
        </w:rPr>
        <w:t>,</w:t>
      </w:r>
      <w:r w:rsidR="00A635E1">
        <w:rPr>
          <w:rFonts w:ascii="Verdana" w:hAnsi="Verdana"/>
          <w:sz w:val="21"/>
          <w:szCs w:val="21"/>
        </w:rPr>
        <w:t xml:space="preserve"> evidenziato che </w:t>
      </w:r>
      <w:r w:rsidR="00A635E1" w:rsidRPr="000C0D02">
        <w:rPr>
          <w:rFonts w:ascii="Verdana" w:hAnsi="Verdana"/>
          <w:b/>
          <w:sz w:val="21"/>
          <w:szCs w:val="21"/>
        </w:rPr>
        <w:t>quasi il 62% delle aziende</w:t>
      </w:r>
      <w:r w:rsidR="00F61724">
        <w:rPr>
          <w:rFonts w:ascii="Verdana" w:hAnsi="Verdana"/>
          <w:b/>
          <w:sz w:val="21"/>
          <w:szCs w:val="21"/>
        </w:rPr>
        <w:t xml:space="preserve"> italiane</w:t>
      </w:r>
      <w:r w:rsidR="00A635E1" w:rsidRPr="000C0D02">
        <w:rPr>
          <w:rFonts w:ascii="Verdana" w:hAnsi="Verdana"/>
          <w:b/>
          <w:sz w:val="21"/>
          <w:szCs w:val="21"/>
        </w:rPr>
        <w:t xml:space="preserve"> </w:t>
      </w:r>
      <w:r w:rsidR="00756489">
        <w:rPr>
          <w:rFonts w:ascii="Verdana" w:hAnsi="Verdana"/>
          <w:b/>
          <w:sz w:val="21"/>
          <w:szCs w:val="21"/>
        </w:rPr>
        <w:t xml:space="preserve">ne ha </w:t>
      </w:r>
      <w:r w:rsidR="00A635E1" w:rsidRPr="000C0D02">
        <w:rPr>
          <w:rFonts w:ascii="Verdana" w:hAnsi="Verdana"/>
          <w:b/>
          <w:sz w:val="21"/>
          <w:szCs w:val="21"/>
        </w:rPr>
        <w:t>una buona consapevolezza</w:t>
      </w:r>
      <w:r w:rsidR="00A635E1">
        <w:rPr>
          <w:rFonts w:ascii="Verdana" w:hAnsi="Verdana"/>
          <w:sz w:val="21"/>
          <w:szCs w:val="21"/>
        </w:rPr>
        <w:t>, ritenendosi esposta a possibili rischi catastrofali</w:t>
      </w:r>
      <w:r w:rsidR="00756489">
        <w:rPr>
          <w:rFonts w:ascii="Verdana" w:hAnsi="Verdana"/>
          <w:sz w:val="21"/>
          <w:szCs w:val="21"/>
        </w:rPr>
        <w:t>.</w:t>
      </w:r>
      <w:r w:rsidR="00A635E1">
        <w:rPr>
          <w:rFonts w:ascii="Verdana" w:hAnsi="Verdana"/>
          <w:sz w:val="21"/>
          <w:szCs w:val="21"/>
        </w:rPr>
        <w:t xml:space="preserve"> </w:t>
      </w:r>
      <w:r w:rsidR="00756489">
        <w:rPr>
          <w:rFonts w:ascii="Verdana" w:hAnsi="Verdana"/>
          <w:b/>
          <w:sz w:val="21"/>
          <w:szCs w:val="21"/>
        </w:rPr>
        <w:t>Q</w:t>
      </w:r>
      <w:r w:rsidR="00756489" w:rsidRPr="000C0D02">
        <w:rPr>
          <w:rFonts w:ascii="Verdana" w:hAnsi="Verdana"/>
          <w:b/>
          <w:sz w:val="21"/>
          <w:szCs w:val="21"/>
        </w:rPr>
        <w:t xml:space="preserve">uattro </w:t>
      </w:r>
      <w:r w:rsidR="00A635E1" w:rsidRPr="000C0D02">
        <w:rPr>
          <w:rFonts w:ascii="Verdana" w:hAnsi="Verdana"/>
          <w:b/>
          <w:sz w:val="21"/>
          <w:szCs w:val="21"/>
        </w:rPr>
        <w:t>imprese su dieci</w:t>
      </w:r>
      <w:r w:rsidR="00756489" w:rsidRPr="00756489">
        <w:rPr>
          <w:rFonts w:ascii="Verdana" w:hAnsi="Verdana"/>
          <w:sz w:val="21"/>
          <w:szCs w:val="21"/>
        </w:rPr>
        <w:t>, inoltre,</w:t>
      </w:r>
      <w:r w:rsidR="00A635E1" w:rsidRPr="000C0D02">
        <w:rPr>
          <w:rFonts w:ascii="Verdana" w:hAnsi="Verdana"/>
          <w:b/>
          <w:sz w:val="21"/>
          <w:szCs w:val="21"/>
        </w:rPr>
        <w:t xml:space="preserve"> si </w:t>
      </w:r>
      <w:r w:rsidR="003C1D00">
        <w:rPr>
          <w:rFonts w:ascii="Verdana" w:hAnsi="Verdana"/>
          <w:b/>
          <w:sz w:val="21"/>
          <w:szCs w:val="21"/>
        </w:rPr>
        <w:t xml:space="preserve">considerano </w:t>
      </w:r>
      <w:r w:rsidR="00A635E1" w:rsidRPr="000C0D02">
        <w:rPr>
          <w:rFonts w:ascii="Verdana" w:hAnsi="Verdana"/>
          <w:b/>
          <w:sz w:val="21"/>
          <w:szCs w:val="21"/>
        </w:rPr>
        <w:t>vulnerabili su più fronti</w:t>
      </w:r>
      <w:r w:rsidR="00A635E1">
        <w:rPr>
          <w:rFonts w:ascii="Verdana" w:hAnsi="Verdana"/>
          <w:sz w:val="21"/>
          <w:szCs w:val="21"/>
        </w:rPr>
        <w:t>, in particolare quelli tipici di un’area idrogeologicamente complessa come terremoti ed alluvioni.</w:t>
      </w:r>
      <w:r w:rsidR="003C1D00">
        <w:rPr>
          <w:rFonts w:ascii="Verdana" w:hAnsi="Verdana"/>
          <w:sz w:val="21"/>
          <w:szCs w:val="21"/>
        </w:rPr>
        <w:t xml:space="preserve"> </w:t>
      </w:r>
    </w:p>
    <w:p w14:paraId="0394020C" w14:textId="45295BFF" w:rsidR="00FF2D4C" w:rsidRDefault="003F5082" w:rsidP="00FF2D4C">
      <w:pPr>
        <w:spacing w:after="120" w:line="276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Nonostante la percentuale di </w:t>
      </w:r>
      <w:r w:rsidRPr="003F5082">
        <w:rPr>
          <w:rFonts w:ascii="Verdana" w:hAnsi="Verdana"/>
          <w:b/>
          <w:bCs/>
          <w:sz w:val="21"/>
          <w:szCs w:val="21"/>
        </w:rPr>
        <w:t>aziende</w:t>
      </w:r>
      <w:r w:rsidR="0002218C" w:rsidRPr="003C1D00">
        <w:rPr>
          <w:rFonts w:ascii="Verdana" w:hAnsi="Verdana"/>
          <w:b/>
          <w:sz w:val="21"/>
          <w:szCs w:val="21"/>
        </w:rPr>
        <w:t xml:space="preserve"> </w:t>
      </w:r>
      <w:r w:rsidR="00FF2D4C" w:rsidRPr="003C1D00">
        <w:rPr>
          <w:rFonts w:ascii="Verdana" w:hAnsi="Verdana"/>
          <w:b/>
          <w:sz w:val="21"/>
          <w:szCs w:val="21"/>
        </w:rPr>
        <w:t xml:space="preserve">che si sono dotate di strumenti per la copertura di questa tipologia di rischi </w:t>
      </w:r>
      <w:r>
        <w:rPr>
          <w:rFonts w:ascii="Verdana" w:hAnsi="Verdana"/>
          <w:b/>
          <w:sz w:val="21"/>
          <w:szCs w:val="21"/>
        </w:rPr>
        <w:t>sia in linea con il dato precedente</w:t>
      </w:r>
      <w:r w:rsidR="00E07BE6">
        <w:rPr>
          <w:rFonts w:ascii="Verdana" w:hAnsi="Verdana"/>
          <w:b/>
          <w:sz w:val="21"/>
          <w:szCs w:val="21"/>
        </w:rPr>
        <w:t xml:space="preserve"> (</w:t>
      </w:r>
      <w:r w:rsidR="00FF2D4C" w:rsidRPr="003C1D00">
        <w:rPr>
          <w:rFonts w:ascii="Verdana" w:hAnsi="Verdana"/>
          <w:b/>
          <w:sz w:val="21"/>
          <w:szCs w:val="21"/>
        </w:rPr>
        <w:t>60</w:t>
      </w:r>
      <w:r w:rsidR="00FF2D4C">
        <w:rPr>
          <w:rFonts w:ascii="Verdana" w:hAnsi="Verdana"/>
          <w:b/>
          <w:sz w:val="21"/>
          <w:szCs w:val="21"/>
        </w:rPr>
        <w:t>%</w:t>
      </w:r>
      <w:r w:rsidR="00E07BE6">
        <w:rPr>
          <w:rFonts w:ascii="Verdana" w:hAnsi="Verdana"/>
          <w:b/>
          <w:sz w:val="21"/>
          <w:szCs w:val="21"/>
        </w:rPr>
        <w:t>)</w:t>
      </w:r>
      <w:r w:rsidR="0002218C">
        <w:rPr>
          <w:rFonts w:ascii="Verdana" w:hAnsi="Verdana"/>
          <w:b/>
          <w:sz w:val="21"/>
          <w:szCs w:val="21"/>
        </w:rPr>
        <w:t>,</w:t>
      </w:r>
      <w:r w:rsidR="00FF2D4C">
        <w:rPr>
          <w:rFonts w:ascii="Verdana" w:hAnsi="Verdana"/>
          <w:b/>
          <w:sz w:val="21"/>
          <w:szCs w:val="21"/>
        </w:rPr>
        <w:t xml:space="preserve"> l</w:t>
      </w:r>
      <w:r w:rsidR="00FF2D4C" w:rsidRPr="003C1D00">
        <w:rPr>
          <w:rFonts w:ascii="Verdana" w:hAnsi="Verdana"/>
          <w:b/>
          <w:sz w:val="21"/>
          <w:szCs w:val="21"/>
        </w:rPr>
        <w:t xml:space="preserve">a quasi totalità </w:t>
      </w:r>
      <w:r w:rsidR="00FF2D4C">
        <w:rPr>
          <w:rFonts w:ascii="Verdana" w:hAnsi="Verdana"/>
          <w:b/>
          <w:sz w:val="21"/>
          <w:szCs w:val="21"/>
        </w:rPr>
        <w:t>di queste</w:t>
      </w:r>
      <w:r w:rsidR="00FF2D4C" w:rsidRPr="003C1D00">
        <w:rPr>
          <w:rFonts w:ascii="Verdana" w:hAnsi="Verdana"/>
          <w:b/>
          <w:sz w:val="21"/>
          <w:szCs w:val="21"/>
        </w:rPr>
        <w:t xml:space="preserve"> (96%) </w:t>
      </w:r>
      <w:r w:rsidR="00E07BE6">
        <w:rPr>
          <w:rFonts w:ascii="Verdana" w:hAnsi="Verdana"/>
          <w:b/>
          <w:sz w:val="21"/>
          <w:szCs w:val="21"/>
        </w:rPr>
        <w:t xml:space="preserve">si avvale </w:t>
      </w:r>
      <w:r w:rsidR="00FF2D4C">
        <w:rPr>
          <w:rFonts w:ascii="Verdana" w:hAnsi="Verdana"/>
          <w:b/>
          <w:sz w:val="21"/>
          <w:szCs w:val="21"/>
        </w:rPr>
        <w:t xml:space="preserve">genericamente </w:t>
      </w:r>
      <w:r w:rsidR="00E07BE6">
        <w:rPr>
          <w:rFonts w:ascii="Verdana" w:hAnsi="Verdana"/>
          <w:b/>
          <w:sz w:val="21"/>
          <w:szCs w:val="21"/>
        </w:rPr>
        <w:t>di</w:t>
      </w:r>
      <w:r w:rsidR="00FF2D4C" w:rsidRPr="003C1D00">
        <w:rPr>
          <w:rFonts w:ascii="Verdana" w:hAnsi="Verdana"/>
          <w:b/>
          <w:sz w:val="21"/>
          <w:szCs w:val="21"/>
        </w:rPr>
        <w:t xml:space="preserve"> una polizza assicurativa</w:t>
      </w:r>
      <w:r w:rsidR="00FF2D4C">
        <w:rPr>
          <w:rFonts w:ascii="Verdana" w:hAnsi="Verdana"/>
          <w:sz w:val="21"/>
          <w:szCs w:val="21"/>
        </w:rPr>
        <w:t xml:space="preserve"> </w:t>
      </w:r>
      <w:proofErr w:type="spellStart"/>
      <w:r w:rsidR="00FF2D4C" w:rsidRPr="008E6E92">
        <w:rPr>
          <w:rFonts w:ascii="Verdana" w:hAnsi="Verdana"/>
          <w:b/>
          <w:sz w:val="21"/>
          <w:szCs w:val="21"/>
        </w:rPr>
        <w:t>all</w:t>
      </w:r>
      <w:proofErr w:type="spellEnd"/>
      <w:r w:rsidR="00FF2D4C" w:rsidRPr="008E6E92">
        <w:rPr>
          <w:rFonts w:ascii="Verdana" w:hAnsi="Verdana"/>
          <w:b/>
          <w:sz w:val="21"/>
          <w:szCs w:val="21"/>
        </w:rPr>
        <w:t>-risk o multirischio</w:t>
      </w:r>
      <w:r w:rsidR="00FF2D4C">
        <w:rPr>
          <w:rFonts w:ascii="Verdana" w:hAnsi="Verdana"/>
          <w:sz w:val="21"/>
          <w:szCs w:val="21"/>
        </w:rPr>
        <w:t xml:space="preserve">. Tra i rischi coperti, spiccano quelli del ramo property (79%), interruzione di attività (52%) e </w:t>
      </w:r>
      <w:proofErr w:type="spellStart"/>
      <w:r w:rsidR="00FF2D4C">
        <w:rPr>
          <w:rFonts w:ascii="Verdana" w:hAnsi="Verdana"/>
          <w:sz w:val="21"/>
          <w:szCs w:val="21"/>
        </w:rPr>
        <w:t>casuality</w:t>
      </w:r>
      <w:proofErr w:type="spellEnd"/>
      <w:r w:rsidR="00FF2D4C">
        <w:rPr>
          <w:rFonts w:ascii="Verdana" w:hAnsi="Verdana"/>
          <w:sz w:val="21"/>
          <w:szCs w:val="21"/>
        </w:rPr>
        <w:t xml:space="preserve"> (34%)</w:t>
      </w:r>
      <w:r w:rsidR="008E6E92">
        <w:rPr>
          <w:rFonts w:ascii="Verdana" w:hAnsi="Verdana"/>
          <w:sz w:val="21"/>
          <w:szCs w:val="21"/>
        </w:rPr>
        <w:t>.</w:t>
      </w:r>
    </w:p>
    <w:p w14:paraId="27AF705D" w14:textId="1CCD0942" w:rsidR="000C0D02" w:rsidRDefault="0092731A" w:rsidP="00B7606E">
      <w:pPr>
        <w:spacing w:after="120" w:line="276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È </w:t>
      </w:r>
      <w:r w:rsidR="003F5082">
        <w:rPr>
          <w:rFonts w:ascii="Verdana" w:hAnsi="Verdana"/>
          <w:sz w:val="21"/>
          <w:szCs w:val="21"/>
        </w:rPr>
        <w:t>ancora significante</w:t>
      </w:r>
      <w:r w:rsidR="00E07BE6">
        <w:rPr>
          <w:rFonts w:ascii="Verdana" w:hAnsi="Verdana"/>
          <w:sz w:val="21"/>
          <w:szCs w:val="21"/>
        </w:rPr>
        <w:t xml:space="preserve"> </w:t>
      </w:r>
      <w:r w:rsidR="003F5082">
        <w:rPr>
          <w:rFonts w:ascii="Verdana" w:hAnsi="Verdana"/>
          <w:b/>
          <w:sz w:val="21"/>
          <w:szCs w:val="21"/>
        </w:rPr>
        <w:t>(</w:t>
      </w:r>
      <w:r w:rsidR="00706BAC" w:rsidRPr="00E07BE6">
        <w:rPr>
          <w:rFonts w:ascii="Verdana" w:hAnsi="Verdana"/>
          <w:b/>
          <w:sz w:val="21"/>
          <w:szCs w:val="21"/>
        </w:rPr>
        <w:t>40%</w:t>
      </w:r>
      <w:r w:rsidR="003F5082">
        <w:rPr>
          <w:rFonts w:ascii="Verdana" w:hAnsi="Verdana"/>
          <w:b/>
          <w:sz w:val="21"/>
          <w:szCs w:val="21"/>
        </w:rPr>
        <w:t xml:space="preserve">) la percentuale </w:t>
      </w:r>
      <w:r w:rsidR="00706BAC" w:rsidRPr="00E07BE6">
        <w:rPr>
          <w:rFonts w:ascii="Verdana" w:hAnsi="Verdana"/>
          <w:b/>
          <w:sz w:val="21"/>
          <w:szCs w:val="21"/>
        </w:rPr>
        <w:t>d</w:t>
      </w:r>
      <w:r w:rsidR="003F5082">
        <w:rPr>
          <w:rFonts w:ascii="Verdana" w:hAnsi="Verdana"/>
          <w:b/>
          <w:sz w:val="21"/>
          <w:szCs w:val="21"/>
        </w:rPr>
        <w:t>i</w:t>
      </w:r>
      <w:r w:rsidR="00706BAC" w:rsidRPr="00E07BE6">
        <w:rPr>
          <w:rFonts w:ascii="Verdana" w:hAnsi="Verdana"/>
          <w:b/>
          <w:sz w:val="21"/>
          <w:szCs w:val="21"/>
        </w:rPr>
        <w:t xml:space="preserve"> aziende</w:t>
      </w:r>
      <w:r w:rsidR="00706BAC">
        <w:rPr>
          <w:rFonts w:ascii="Verdana" w:hAnsi="Verdana"/>
          <w:sz w:val="21"/>
          <w:szCs w:val="21"/>
        </w:rPr>
        <w:t xml:space="preserve"> </w:t>
      </w:r>
      <w:r w:rsidR="003F5082" w:rsidRPr="003F5082">
        <w:rPr>
          <w:rFonts w:ascii="Verdana" w:hAnsi="Verdana"/>
          <w:b/>
          <w:bCs/>
          <w:sz w:val="21"/>
          <w:szCs w:val="21"/>
        </w:rPr>
        <w:t>che</w:t>
      </w:r>
      <w:r w:rsidR="003F5082">
        <w:rPr>
          <w:rFonts w:ascii="Verdana" w:hAnsi="Verdana"/>
          <w:sz w:val="21"/>
          <w:szCs w:val="21"/>
        </w:rPr>
        <w:t xml:space="preserve"> </w:t>
      </w:r>
      <w:r w:rsidR="00706BAC" w:rsidRPr="00E07BE6">
        <w:rPr>
          <w:rFonts w:ascii="Verdana" w:hAnsi="Verdana"/>
          <w:b/>
          <w:sz w:val="21"/>
          <w:szCs w:val="21"/>
        </w:rPr>
        <w:t xml:space="preserve">non ha </w:t>
      </w:r>
      <w:r w:rsidR="0002218C" w:rsidRPr="00E07BE6">
        <w:rPr>
          <w:rFonts w:ascii="Verdana" w:hAnsi="Verdana"/>
          <w:b/>
          <w:sz w:val="21"/>
          <w:szCs w:val="21"/>
        </w:rPr>
        <w:t xml:space="preserve">mai </w:t>
      </w:r>
      <w:r w:rsidR="00706BAC" w:rsidRPr="00E07BE6">
        <w:rPr>
          <w:rFonts w:ascii="Verdana" w:hAnsi="Verdana"/>
          <w:b/>
          <w:sz w:val="21"/>
          <w:szCs w:val="21"/>
        </w:rPr>
        <w:t>acquistato alcun tipo di copertura per rischi catastrofali</w:t>
      </w:r>
      <w:r w:rsidR="0002218C">
        <w:rPr>
          <w:rFonts w:ascii="Verdana" w:hAnsi="Verdana"/>
          <w:sz w:val="21"/>
          <w:szCs w:val="21"/>
        </w:rPr>
        <w:t>,</w:t>
      </w:r>
      <w:r w:rsidR="00706BAC">
        <w:rPr>
          <w:rFonts w:ascii="Verdana" w:hAnsi="Verdana"/>
          <w:sz w:val="21"/>
          <w:szCs w:val="21"/>
        </w:rPr>
        <w:t xml:space="preserve"> percependo</w:t>
      </w:r>
      <w:r w:rsidR="00706BAC" w:rsidRPr="00AE4B91">
        <w:rPr>
          <w:rFonts w:ascii="Verdana" w:hAnsi="Verdana"/>
          <w:b/>
          <w:sz w:val="21"/>
          <w:szCs w:val="21"/>
        </w:rPr>
        <w:t xml:space="preserve"> </w:t>
      </w:r>
      <w:r w:rsidR="00706BAC" w:rsidRPr="00E07BE6">
        <w:rPr>
          <w:rFonts w:ascii="Verdana" w:hAnsi="Verdana"/>
          <w:sz w:val="21"/>
          <w:szCs w:val="21"/>
        </w:rPr>
        <w:t>come trascurabili le conseguenze e i danni eventuali derivanti da eventi atmosferici o idrogeologici estremi.</w:t>
      </w:r>
      <w:r w:rsidR="008E6E92">
        <w:rPr>
          <w:rFonts w:ascii="Verdana" w:hAnsi="Verdana"/>
          <w:sz w:val="21"/>
          <w:szCs w:val="21"/>
        </w:rPr>
        <w:t xml:space="preserve"> </w:t>
      </w:r>
      <w:r w:rsidR="00FF2D4C">
        <w:rPr>
          <w:rFonts w:ascii="Verdana" w:hAnsi="Verdana"/>
          <w:sz w:val="21"/>
          <w:szCs w:val="21"/>
        </w:rPr>
        <w:t xml:space="preserve">Questo evidenzia come </w:t>
      </w:r>
      <w:r w:rsidR="0002218C">
        <w:rPr>
          <w:rFonts w:ascii="Verdana" w:hAnsi="Verdana"/>
          <w:sz w:val="21"/>
          <w:szCs w:val="21"/>
        </w:rPr>
        <w:t>non si prenda ancora abbastanza</w:t>
      </w:r>
      <w:r w:rsidR="00F61724">
        <w:rPr>
          <w:rFonts w:ascii="Verdana" w:hAnsi="Verdana"/>
          <w:sz w:val="21"/>
          <w:szCs w:val="21"/>
        </w:rPr>
        <w:t xml:space="preserve"> in considerazione un aspetto che sempre più caratterizza </w:t>
      </w:r>
      <w:r w:rsidR="000C0D02">
        <w:rPr>
          <w:rFonts w:ascii="Verdana" w:hAnsi="Verdana"/>
          <w:sz w:val="21"/>
          <w:szCs w:val="21"/>
        </w:rPr>
        <w:t>lo scenario dell’Italia</w:t>
      </w:r>
      <w:r w:rsidR="00F61724">
        <w:rPr>
          <w:rFonts w:ascii="Verdana" w:hAnsi="Verdana"/>
          <w:sz w:val="21"/>
          <w:szCs w:val="21"/>
        </w:rPr>
        <w:t xml:space="preserve">: </w:t>
      </w:r>
      <w:r w:rsidR="00F61724" w:rsidRPr="00A01196">
        <w:rPr>
          <w:rFonts w:ascii="Verdana" w:hAnsi="Verdana"/>
          <w:b/>
          <w:sz w:val="21"/>
          <w:szCs w:val="21"/>
        </w:rPr>
        <w:t>l’aumento degli eventi catastrofici dovuti al cambiamento climatico</w:t>
      </w:r>
      <w:r w:rsidR="00F61724">
        <w:rPr>
          <w:rFonts w:ascii="Verdana" w:hAnsi="Verdana"/>
          <w:sz w:val="21"/>
          <w:szCs w:val="21"/>
        </w:rPr>
        <w:t>, che si aggiunge con frequenza crescente</w:t>
      </w:r>
      <w:r w:rsidR="000C0D02">
        <w:rPr>
          <w:rFonts w:ascii="Verdana" w:hAnsi="Verdana"/>
          <w:sz w:val="21"/>
          <w:szCs w:val="21"/>
        </w:rPr>
        <w:t xml:space="preserve"> all’elevata vulnerabilità data dalla conformazione geologica.</w:t>
      </w:r>
      <w:r w:rsidR="005533D2">
        <w:rPr>
          <w:rFonts w:ascii="Verdana" w:hAnsi="Verdana"/>
          <w:sz w:val="21"/>
          <w:szCs w:val="21"/>
        </w:rPr>
        <w:t xml:space="preserve"> </w:t>
      </w:r>
    </w:p>
    <w:p w14:paraId="1A0B9AE0" w14:textId="617377F6" w:rsidR="000C0D02" w:rsidRDefault="00A01196" w:rsidP="00D2409E">
      <w:pPr>
        <w:spacing w:after="0" w:line="276" w:lineRule="auto"/>
        <w:jc w:val="both"/>
        <w:rPr>
          <w:rFonts w:ascii="Verdana" w:hAnsi="Verdana"/>
          <w:sz w:val="21"/>
          <w:szCs w:val="21"/>
        </w:rPr>
      </w:pPr>
      <w:r w:rsidRPr="00A01196">
        <w:rPr>
          <w:rFonts w:ascii="Verdana" w:hAnsi="Verdana"/>
          <w:bCs/>
          <w:sz w:val="21"/>
          <w:szCs w:val="21"/>
        </w:rPr>
        <w:t xml:space="preserve">Quando si verificano questi </w:t>
      </w:r>
      <w:r w:rsidR="0002218C">
        <w:rPr>
          <w:rFonts w:ascii="Verdana" w:hAnsi="Verdana"/>
          <w:bCs/>
          <w:sz w:val="21"/>
          <w:szCs w:val="21"/>
        </w:rPr>
        <w:t>fenomeni</w:t>
      </w:r>
      <w:r w:rsidRPr="00A01196">
        <w:rPr>
          <w:rFonts w:ascii="Verdana" w:hAnsi="Verdana"/>
          <w:bCs/>
          <w:sz w:val="21"/>
          <w:szCs w:val="21"/>
        </w:rPr>
        <w:t>, i danni economici sono ingenti:</w:t>
      </w:r>
      <w:r>
        <w:rPr>
          <w:rFonts w:ascii="Verdana" w:hAnsi="Verdana"/>
          <w:b/>
          <w:sz w:val="21"/>
          <w:szCs w:val="21"/>
        </w:rPr>
        <w:t xml:space="preserve"> </w:t>
      </w:r>
      <w:r w:rsidR="000C0D02" w:rsidRPr="003C1D00">
        <w:rPr>
          <w:rFonts w:ascii="Verdana" w:hAnsi="Verdana"/>
          <w:b/>
          <w:sz w:val="21"/>
          <w:szCs w:val="21"/>
        </w:rPr>
        <w:t>il 22% delle aziende intervistate ha dichiarato di aver subito danni catastrofali</w:t>
      </w:r>
      <w:r w:rsidR="000C0D02">
        <w:rPr>
          <w:rFonts w:ascii="Verdana" w:hAnsi="Verdana"/>
          <w:sz w:val="21"/>
          <w:szCs w:val="21"/>
        </w:rPr>
        <w:t xml:space="preserve"> che hanno causato una perdita diretta tra i 5 e i 10 milioni di euro (17%) o addirittura </w:t>
      </w:r>
      <w:r w:rsidR="000C0D02" w:rsidRPr="00A01196">
        <w:rPr>
          <w:rFonts w:ascii="Verdana" w:hAnsi="Verdana"/>
          <w:b/>
          <w:bCs/>
          <w:sz w:val="21"/>
          <w:szCs w:val="21"/>
        </w:rPr>
        <w:t>superiore ai 50 milioni</w:t>
      </w:r>
      <w:r w:rsidR="000C0D02">
        <w:rPr>
          <w:rFonts w:ascii="Verdana" w:hAnsi="Verdana"/>
          <w:sz w:val="21"/>
          <w:szCs w:val="21"/>
        </w:rPr>
        <w:t xml:space="preserve"> di euro (10,4%)</w:t>
      </w:r>
      <w:r w:rsidR="00D2409E">
        <w:rPr>
          <w:rFonts w:ascii="Verdana" w:hAnsi="Verdana"/>
          <w:sz w:val="21"/>
          <w:szCs w:val="21"/>
        </w:rPr>
        <w:t>.</w:t>
      </w:r>
    </w:p>
    <w:p w14:paraId="76FEE813" w14:textId="34D691D9" w:rsidR="006F2269" w:rsidRDefault="006F2269" w:rsidP="00D2409E">
      <w:pPr>
        <w:spacing w:after="0" w:line="276" w:lineRule="auto"/>
        <w:jc w:val="both"/>
        <w:rPr>
          <w:rFonts w:ascii="Verdana" w:hAnsi="Verdana"/>
          <w:sz w:val="21"/>
          <w:szCs w:val="21"/>
        </w:rPr>
      </w:pPr>
    </w:p>
    <w:p w14:paraId="3D4CE86C" w14:textId="2DEF597C" w:rsidR="00706BAC" w:rsidRPr="00706BAC" w:rsidRDefault="00706BAC" w:rsidP="00706BAC">
      <w:pPr>
        <w:spacing w:after="120" w:line="276" w:lineRule="auto"/>
        <w:jc w:val="both"/>
        <w:rPr>
          <w:rFonts w:ascii="Verdana" w:hAnsi="Verdana"/>
          <w:b/>
          <w:bCs/>
          <w:sz w:val="21"/>
          <w:szCs w:val="21"/>
        </w:rPr>
      </w:pPr>
      <w:r w:rsidRPr="00E07BE6">
        <w:rPr>
          <w:rFonts w:ascii="Verdana" w:hAnsi="Verdana"/>
          <w:bCs/>
          <w:sz w:val="21"/>
          <w:szCs w:val="21"/>
        </w:rPr>
        <w:lastRenderedPageBreak/>
        <w:t xml:space="preserve">A tutela del proprio business, </w:t>
      </w:r>
      <w:r w:rsidR="003F5082">
        <w:rPr>
          <w:rFonts w:ascii="Verdana" w:hAnsi="Verdana"/>
          <w:bCs/>
          <w:sz w:val="21"/>
          <w:szCs w:val="21"/>
        </w:rPr>
        <w:t>è sempre più</w:t>
      </w:r>
      <w:r w:rsidRPr="00706BAC">
        <w:rPr>
          <w:rFonts w:ascii="Verdana" w:hAnsi="Verdana"/>
          <w:b/>
          <w:bCs/>
          <w:sz w:val="21"/>
          <w:szCs w:val="21"/>
        </w:rPr>
        <w:t xml:space="preserve"> necessari</w:t>
      </w:r>
      <w:r w:rsidR="0002218C">
        <w:rPr>
          <w:rFonts w:ascii="Verdana" w:hAnsi="Verdana"/>
          <w:b/>
          <w:bCs/>
          <w:sz w:val="21"/>
          <w:szCs w:val="21"/>
        </w:rPr>
        <w:t>a</w:t>
      </w:r>
      <w:r w:rsidRPr="00706BAC">
        <w:rPr>
          <w:rFonts w:ascii="Verdana" w:hAnsi="Verdana"/>
          <w:b/>
          <w:bCs/>
          <w:sz w:val="21"/>
          <w:szCs w:val="21"/>
        </w:rPr>
        <w:t xml:space="preserve"> un’attenta analisi dei rischi ed azioni di prevenzione delle perdite con ritenzione del rischio residuo, siti di </w:t>
      </w:r>
      <w:proofErr w:type="spellStart"/>
      <w:r w:rsidRPr="00706BAC">
        <w:rPr>
          <w:rFonts w:ascii="Verdana" w:hAnsi="Verdana"/>
          <w:b/>
          <w:bCs/>
          <w:sz w:val="21"/>
          <w:szCs w:val="21"/>
        </w:rPr>
        <w:t>disaster</w:t>
      </w:r>
      <w:proofErr w:type="spellEnd"/>
      <w:r w:rsidRPr="00706BAC">
        <w:rPr>
          <w:rFonts w:ascii="Verdana" w:hAnsi="Verdana"/>
          <w:b/>
          <w:bCs/>
          <w:sz w:val="21"/>
          <w:szCs w:val="21"/>
        </w:rPr>
        <w:t xml:space="preserve"> recovery </w:t>
      </w:r>
      <w:r w:rsidR="003F5082">
        <w:rPr>
          <w:rFonts w:ascii="Verdana" w:hAnsi="Verdana"/>
          <w:b/>
          <w:bCs/>
          <w:sz w:val="21"/>
          <w:szCs w:val="21"/>
        </w:rPr>
        <w:t xml:space="preserve">e </w:t>
      </w:r>
      <w:r w:rsidRPr="00706BAC">
        <w:rPr>
          <w:rFonts w:ascii="Verdana" w:hAnsi="Verdana"/>
          <w:b/>
          <w:bCs/>
          <w:sz w:val="21"/>
          <w:szCs w:val="21"/>
        </w:rPr>
        <w:t>piani di continuità operativa</w:t>
      </w:r>
      <w:r w:rsidR="00E07BE6">
        <w:rPr>
          <w:rFonts w:ascii="Verdana" w:hAnsi="Verdana"/>
          <w:b/>
          <w:bCs/>
          <w:sz w:val="21"/>
          <w:szCs w:val="21"/>
        </w:rPr>
        <w:t>:</w:t>
      </w:r>
      <w:r w:rsidRPr="00706BAC">
        <w:rPr>
          <w:rFonts w:ascii="Verdana" w:hAnsi="Verdana"/>
          <w:b/>
          <w:bCs/>
          <w:sz w:val="21"/>
          <w:szCs w:val="21"/>
        </w:rPr>
        <w:t xml:space="preserve"> </w:t>
      </w:r>
      <w:r w:rsidRPr="00E07BE6">
        <w:rPr>
          <w:rFonts w:ascii="Verdana" w:hAnsi="Verdana"/>
          <w:bCs/>
          <w:sz w:val="21"/>
          <w:szCs w:val="21"/>
        </w:rPr>
        <w:t xml:space="preserve">una serie di misure </w:t>
      </w:r>
      <w:r w:rsidRPr="00706BAC">
        <w:rPr>
          <w:rFonts w:ascii="Verdana" w:hAnsi="Verdana"/>
          <w:b/>
          <w:bCs/>
          <w:sz w:val="21"/>
          <w:szCs w:val="21"/>
        </w:rPr>
        <w:t xml:space="preserve">implementate soltanto dal 17% </w:t>
      </w:r>
      <w:r w:rsidRPr="00E07BE6">
        <w:rPr>
          <w:rFonts w:ascii="Verdana" w:hAnsi="Verdana"/>
          <w:bCs/>
          <w:sz w:val="21"/>
          <w:szCs w:val="21"/>
        </w:rPr>
        <w:t>dei rispondenti.</w:t>
      </w:r>
      <w:r w:rsidRPr="00706BAC">
        <w:rPr>
          <w:rFonts w:ascii="Verdana" w:hAnsi="Verdana"/>
          <w:b/>
          <w:bCs/>
          <w:sz w:val="21"/>
          <w:szCs w:val="21"/>
        </w:rPr>
        <w:t xml:space="preserve"> </w:t>
      </w:r>
    </w:p>
    <w:p w14:paraId="49DEC8B1" w14:textId="7439B2AA" w:rsidR="00370A5F" w:rsidRDefault="00370A5F" w:rsidP="00B7606E">
      <w:pPr>
        <w:spacing w:after="120" w:line="276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Tra le ragioni che possono incoraggiare o spingere all’uso di prodotti assicurativi per le </w:t>
      </w:r>
      <w:r w:rsidR="00E07BE6">
        <w:rPr>
          <w:rFonts w:ascii="Verdana" w:hAnsi="Verdana"/>
          <w:sz w:val="21"/>
          <w:szCs w:val="21"/>
        </w:rPr>
        <w:t>“</w:t>
      </w:r>
      <w:proofErr w:type="spellStart"/>
      <w:r>
        <w:rPr>
          <w:rFonts w:ascii="Verdana" w:hAnsi="Verdana"/>
          <w:sz w:val="21"/>
          <w:szCs w:val="21"/>
        </w:rPr>
        <w:t>catnat</w:t>
      </w:r>
      <w:proofErr w:type="spellEnd"/>
      <w:r w:rsidR="00E07BE6">
        <w:rPr>
          <w:rFonts w:ascii="Verdana" w:hAnsi="Verdana"/>
          <w:sz w:val="21"/>
          <w:szCs w:val="21"/>
        </w:rPr>
        <w:t>”</w:t>
      </w:r>
      <w:r>
        <w:rPr>
          <w:rFonts w:ascii="Verdana" w:hAnsi="Verdana"/>
          <w:sz w:val="21"/>
          <w:szCs w:val="21"/>
        </w:rPr>
        <w:t xml:space="preserve">, </w:t>
      </w:r>
      <w:r w:rsidR="0002218C">
        <w:rPr>
          <w:rFonts w:ascii="Verdana" w:hAnsi="Verdana"/>
          <w:sz w:val="21"/>
          <w:szCs w:val="21"/>
        </w:rPr>
        <w:t>oltre all’</w:t>
      </w:r>
      <w:r>
        <w:rPr>
          <w:rFonts w:ascii="Verdana" w:hAnsi="Verdana"/>
          <w:sz w:val="21"/>
          <w:szCs w:val="21"/>
        </w:rPr>
        <w:t xml:space="preserve">aumento delle catastrofi naturali dettate dal cambiamento climatico, </w:t>
      </w:r>
      <w:r w:rsidR="003F5082">
        <w:rPr>
          <w:rFonts w:ascii="Verdana" w:hAnsi="Verdana"/>
          <w:sz w:val="21"/>
          <w:szCs w:val="21"/>
        </w:rPr>
        <w:t>l’indagine rileva</w:t>
      </w:r>
      <w:r w:rsidR="0002218C">
        <w:rPr>
          <w:rFonts w:ascii="Verdana" w:hAnsi="Verdana"/>
          <w:sz w:val="21"/>
          <w:szCs w:val="21"/>
        </w:rPr>
        <w:t xml:space="preserve"> la necessità di </w:t>
      </w:r>
      <w:r>
        <w:rPr>
          <w:rFonts w:ascii="Verdana" w:hAnsi="Verdana"/>
          <w:sz w:val="21"/>
          <w:szCs w:val="21"/>
        </w:rPr>
        <w:t xml:space="preserve">garantire la continuità aziendale, </w:t>
      </w:r>
      <w:r w:rsidR="00E07BE6">
        <w:rPr>
          <w:rFonts w:ascii="Verdana" w:hAnsi="Verdana"/>
          <w:sz w:val="21"/>
          <w:szCs w:val="21"/>
        </w:rPr>
        <w:t>oltre al</w:t>
      </w:r>
      <w:r w:rsidR="0002218C">
        <w:rPr>
          <w:rFonts w:ascii="Verdana" w:hAnsi="Verdana"/>
          <w:sz w:val="21"/>
          <w:szCs w:val="21"/>
        </w:rPr>
        <w:t xml:space="preserve">la presenza di </w:t>
      </w:r>
      <w:r>
        <w:rPr>
          <w:rFonts w:ascii="Verdana" w:hAnsi="Verdana"/>
          <w:sz w:val="21"/>
          <w:szCs w:val="21"/>
        </w:rPr>
        <w:t>incentivi o contributi governativi</w:t>
      </w:r>
      <w:r w:rsidR="0002218C">
        <w:rPr>
          <w:rFonts w:ascii="Verdana" w:hAnsi="Verdana"/>
          <w:sz w:val="21"/>
          <w:szCs w:val="21"/>
        </w:rPr>
        <w:t xml:space="preserve"> per chi decide di ricorrervi</w:t>
      </w:r>
      <w:r>
        <w:rPr>
          <w:rFonts w:ascii="Verdana" w:hAnsi="Verdana"/>
          <w:sz w:val="21"/>
          <w:szCs w:val="21"/>
        </w:rPr>
        <w:t>, obblighi normativi e aumento della consapevolezza dell’esposizione al rischio.</w:t>
      </w:r>
    </w:p>
    <w:p w14:paraId="7AABF665" w14:textId="77777777" w:rsidR="00717B28" w:rsidRDefault="00717B28" w:rsidP="00717B28">
      <w:pPr>
        <w:spacing w:after="0" w:line="276" w:lineRule="auto"/>
        <w:jc w:val="both"/>
        <w:rPr>
          <w:rFonts w:ascii="Verdana" w:hAnsi="Verdana"/>
          <w:b/>
          <w:bCs/>
          <w:sz w:val="21"/>
          <w:szCs w:val="21"/>
        </w:rPr>
      </w:pPr>
    </w:p>
    <w:p w14:paraId="7F6D9062" w14:textId="2E4A7D0C" w:rsidR="00370A5F" w:rsidRPr="00717B28" w:rsidRDefault="00AE4B91" w:rsidP="00B7606E">
      <w:pPr>
        <w:spacing w:after="120" w:line="276" w:lineRule="auto"/>
        <w:jc w:val="both"/>
        <w:rPr>
          <w:rFonts w:ascii="Verdana" w:hAnsi="Verdana"/>
          <w:bCs/>
          <w:sz w:val="21"/>
          <w:szCs w:val="21"/>
        </w:rPr>
      </w:pPr>
      <w:r w:rsidRPr="00717B28">
        <w:rPr>
          <w:rFonts w:ascii="Verdana" w:hAnsi="Verdana"/>
          <w:bCs/>
          <w:sz w:val="21"/>
          <w:szCs w:val="21"/>
        </w:rPr>
        <w:t>CAT BOND: POSSONO ESSERE LA SOLUZIONE?</w:t>
      </w:r>
    </w:p>
    <w:p w14:paraId="431CD525" w14:textId="1FB56816" w:rsidR="00AE4B91" w:rsidRDefault="00D66A78" w:rsidP="00B7606E">
      <w:pPr>
        <w:spacing w:after="120" w:line="276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La ricerca di </w:t>
      </w:r>
      <w:r w:rsidR="00AE4B91">
        <w:rPr>
          <w:rFonts w:ascii="Verdana" w:hAnsi="Verdana"/>
          <w:sz w:val="21"/>
          <w:szCs w:val="21"/>
        </w:rPr>
        <w:t xml:space="preserve">ANRA, </w:t>
      </w:r>
      <w:r w:rsidR="00AE4B91" w:rsidRPr="00AE4B91">
        <w:rPr>
          <w:rFonts w:ascii="Verdana" w:hAnsi="Verdana"/>
          <w:sz w:val="21"/>
          <w:szCs w:val="21"/>
        </w:rPr>
        <w:t>Università degli Studi di Milano, Università di Parma e Università degli Studi di Firenze</w:t>
      </w:r>
      <w:r w:rsidR="00AE4B91">
        <w:rPr>
          <w:rFonts w:ascii="Verdana" w:hAnsi="Verdana"/>
          <w:sz w:val="21"/>
          <w:szCs w:val="21"/>
        </w:rPr>
        <w:t xml:space="preserve"> si è post</w:t>
      </w:r>
      <w:r w:rsidR="0002218C">
        <w:rPr>
          <w:rFonts w:ascii="Verdana" w:hAnsi="Verdana"/>
          <w:sz w:val="21"/>
          <w:szCs w:val="21"/>
        </w:rPr>
        <w:t>a</w:t>
      </w:r>
      <w:r w:rsidR="00AE4B91">
        <w:rPr>
          <w:rFonts w:ascii="Verdana" w:hAnsi="Verdana"/>
          <w:sz w:val="21"/>
          <w:szCs w:val="21"/>
        </w:rPr>
        <w:t xml:space="preserve"> l’obiettivo di analizzare, dal punto di vista economico e giuridico, lo strumento dei </w:t>
      </w:r>
      <w:r w:rsidR="00AE4B91" w:rsidRPr="00D66A78">
        <w:rPr>
          <w:rFonts w:ascii="Verdana" w:hAnsi="Verdana"/>
          <w:b/>
          <w:sz w:val="21"/>
          <w:szCs w:val="21"/>
        </w:rPr>
        <w:t>CAT bond</w:t>
      </w:r>
      <w:r w:rsidR="003F5082">
        <w:rPr>
          <w:rFonts w:ascii="Verdana" w:hAnsi="Verdana"/>
          <w:b/>
          <w:sz w:val="21"/>
          <w:szCs w:val="21"/>
        </w:rPr>
        <w:t xml:space="preserve"> (</w:t>
      </w:r>
      <w:proofErr w:type="spellStart"/>
      <w:r w:rsidR="00AE4B91" w:rsidRPr="00D66A78">
        <w:rPr>
          <w:rFonts w:ascii="Verdana" w:hAnsi="Verdana"/>
          <w:b/>
          <w:sz w:val="21"/>
          <w:szCs w:val="21"/>
        </w:rPr>
        <w:t>catastrophe</w:t>
      </w:r>
      <w:proofErr w:type="spellEnd"/>
      <w:r w:rsidR="00AE4B91" w:rsidRPr="00D66A78">
        <w:rPr>
          <w:rFonts w:ascii="Verdana" w:hAnsi="Verdana"/>
          <w:b/>
          <w:sz w:val="21"/>
          <w:szCs w:val="21"/>
        </w:rPr>
        <w:t xml:space="preserve"> bond</w:t>
      </w:r>
      <w:r w:rsidR="003F5082">
        <w:rPr>
          <w:rFonts w:ascii="Verdana" w:hAnsi="Verdana"/>
          <w:b/>
          <w:sz w:val="21"/>
          <w:szCs w:val="21"/>
        </w:rPr>
        <w:t>)</w:t>
      </w:r>
      <w:r w:rsidR="006B5D36">
        <w:rPr>
          <w:rFonts w:ascii="Verdana" w:hAnsi="Verdana"/>
          <w:sz w:val="21"/>
          <w:szCs w:val="21"/>
        </w:rPr>
        <w:t>, cercando di capire perché tale strumento non è ancora diffuso in Italia come invece accade in altri Paesi</w:t>
      </w:r>
      <w:r>
        <w:rPr>
          <w:rFonts w:ascii="Verdana" w:hAnsi="Verdana"/>
          <w:sz w:val="21"/>
          <w:szCs w:val="21"/>
        </w:rPr>
        <w:t>.</w:t>
      </w:r>
      <w:r w:rsidR="006B5D36">
        <w:rPr>
          <w:rFonts w:ascii="Verdana" w:hAnsi="Verdana"/>
          <w:sz w:val="21"/>
          <w:szCs w:val="21"/>
        </w:rPr>
        <w:t xml:space="preserve"> Ricordiamo che i CAT bond sono </w:t>
      </w:r>
      <w:r w:rsidR="006B5D36" w:rsidRPr="006B5D36">
        <w:rPr>
          <w:rFonts w:ascii="Verdana" w:hAnsi="Verdana"/>
          <w:sz w:val="21"/>
          <w:szCs w:val="21"/>
        </w:rPr>
        <w:t>obbligazioni che svolgono la funzione di trasferire il rischio di un evento catastrofico eccezionale – come un uragano, un terremoto o una pandemia – da un soggetto che li emette ad un altro che viene remunerato per sopportare questo rischio</w:t>
      </w:r>
      <w:r w:rsidR="006B5D36">
        <w:rPr>
          <w:rFonts w:ascii="Verdana" w:hAnsi="Verdana"/>
          <w:sz w:val="21"/>
          <w:szCs w:val="21"/>
        </w:rPr>
        <w:t xml:space="preserve">. </w:t>
      </w:r>
    </w:p>
    <w:p w14:paraId="40FFE0A0" w14:textId="20BDE3DA" w:rsidR="00370A5F" w:rsidRDefault="00D66A78" w:rsidP="00B7606E">
      <w:pPr>
        <w:spacing w:after="120" w:line="276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Dai dati raccolti, è emerso </w:t>
      </w:r>
      <w:r w:rsidR="006B5D36">
        <w:rPr>
          <w:rFonts w:ascii="Verdana" w:hAnsi="Verdana"/>
          <w:sz w:val="21"/>
          <w:szCs w:val="21"/>
        </w:rPr>
        <w:t>come uno dei principali problemi sia la scarsa conoscenza di questi strumenti non solo tra le aziende, ma addirittura tra gli operatori del settore assicurativo:</w:t>
      </w:r>
      <w:r>
        <w:rPr>
          <w:rFonts w:ascii="Verdana" w:hAnsi="Verdana"/>
          <w:sz w:val="21"/>
          <w:szCs w:val="21"/>
        </w:rPr>
        <w:t xml:space="preserve"> </w:t>
      </w:r>
      <w:r w:rsidRPr="00D66A78">
        <w:rPr>
          <w:rFonts w:ascii="Verdana" w:hAnsi="Verdana"/>
          <w:b/>
          <w:sz w:val="21"/>
          <w:szCs w:val="21"/>
        </w:rPr>
        <w:t>f</w:t>
      </w:r>
      <w:r w:rsidR="00370A5F" w:rsidRPr="00D66A78">
        <w:rPr>
          <w:rFonts w:ascii="Verdana" w:hAnsi="Verdana"/>
          <w:b/>
          <w:sz w:val="21"/>
          <w:szCs w:val="21"/>
        </w:rPr>
        <w:t xml:space="preserve">ra le società rispondenti </w:t>
      </w:r>
      <w:r w:rsidR="006B5D36">
        <w:rPr>
          <w:rFonts w:ascii="Verdana" w:hAnsi="Verdana"/>
          <w:b/>
          <w:sz w:val="21"/>
          <w:szCs w:val="21"/>
        </w:rPr>
        <w:t>attive in tale ambito</w:t>
      </w:r>
      <w:r w:rsidR="00370A5F" w:rsidRPr="00D66A78">
        <w:rPr>
          <w:rFonts w:ascii="Verdana" w:hAnsi="Verdana"/>
          <w:b/>
          <w:sz w:val="21"/>
          <w:szCs w:val="21"/>
        </w:rPr>
        <w:t>, la stragrande maggioranza (82%) non è a conoscenza delle caratteristiche dei CAT bond emessi</w:t>
      </w:r>
      <w:r w:rsidR="00370A5F">
        <w:rPr>
          <w:rFonts w:ascii="Verdana" w:hAnsi="Verdana"/>
          <w:sz w:val="21"/>
          <w:szCs w:val="21"/>
        </w:rPr>
        <w:t>, o dichiara di non poterl</w:t>
      </w:r>
      <w:r w:rsidR="006B5D36">
        <w:rPr>
          <w:rFonts w:ascii="Verdana" w:hAnsi="Verdana"/>
          <w:sz w:val="21"/>
          <w:szCs w:val="21"/>
        </w:rPr>
        <w:t>e</w:t>
      </w:r>
      <w:r w:rsidR="00370A5F">
        <w:rPr>
          <w:rFonts w:ascii="Verdana" w:hAnsi="Verdana"/>
          <w:sz w:val="21"/>
          <w:szCs w:val="21"/>
        </w:rPr>
        <w:t xml:space="preserve"> divulgare. </w:t>
      </w:r>
      <w:r w:rsidR="00370A5F" w:rsidRPr="00D66A78">
        <w:rPr>
          <w:rFonts w:ascii="Verdana" w:hAnsi="Verdana"/>
          <w:b/>
          <w:sz w:val="21"/>
          <w:szCs w:val="21"/>
        </w:rPr>
        <w:t xml:space="preserve">Quasi la metà degli assicuratori </w:t>
      </w:r>
      <w:r w:rsidR="006B5D36">
        <w:rPr>
          <w:rFonts w:ascii="Verdana" w:hAnsi="Verdana"/>
          <w:b/>
          <w:sz w:val="21"/>
          <w:szCs w:val="21"/>
        </w:rPr>
        <w:t xml:space="preserve">inoltre </w:t>
      </w:r>
      <w:r w:rsidR="00370A5F" w:rsidRPr="00D66A78">
        <w:rPr>
          <w:rFonts w:ascii="Verdana" w:hAnsi="Verdana"/>
          <w:b/>
          <w:sz w:val="21"/>
          <w:szCs w:val="21"/>
        </w:rPr>
        <w:t>non ha alcuna familiarità con lo strumento</w:t>
      </w:r>
      <w:r w:rsidR="00370A5F">
        <w:rPr>
          <w:rFonts w:ascii="Verdana" w:hAnsi="Verdana"/>
          <w:sz w:val="21"/>
          <w:szCs w:val="21"/>
        </w:rPr>
        <w:t>, o lo ritiene complicato da comprendere e di conseguenza da offrire ai clienti</w:t>
      </w:r>
      <w:r w:rsidR="006B5D36">
        <w:rPr>
          <w:rFonts w:ascii="Verdana" w:hAnsi="Verdana"/>
          <w:sz w:val="21"/>
          <w:szCs w:val="21"/>
        </w:rPr>
        <w:t xml:space="preserve">. </w:t>
      </w:r>
    </w:p>
    <w:p w14:paraId="38C99E88" w14:textId="77777777" w:rsidR="00370A5F" w:rsidRDefault="00370A5F" w:rsidP="00B7606E">
      <w:pPr>
        <w:spacing w:after="120" w:line="276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Ma i CAT bond rappresentano una risposta efficace al bisogno di copertura per i rischi catastrofali delle aziende italiane? </w:t>
      </w:r>
      <w:r w:rsidRPr="00E07BE6">
        <w:rPr>
          <w:rFonts w:ascii="Verdana" w:hAnsi="Verdana"/>
          <w:b/>
          <w:sz w:val="21"/>
          <w:szCs w:val="21"/>
        </w:rPr>
        <w:t>Dal punto di vista finanziario</w:t>
      </w:r>
      <w:r>
        <w:rPr>
          <w:rFonts w:ascii="Verdana" w:hAnsi="Verdana"/>
          <w:sz w:val="21"/>
          <w:szCs w:val="21"/>
        </w:rPr>
        <w:t xml:space="preserve">, rispetto alle coperture assicurative, essi </w:t>
      </w:r>
      <w:r w:rsidRPr="00E07BE6">
        <w:rPr>
          <w:rFonts w:ascii="Verdana" w:hAnsi="Verdana"/>
          <w:b/>
          <w:sz w:val="21"/>
          <w:szCs w:val="21"/>
        </w:rPr>
        <w:t>garantiscono importanti vantaggi economici</w:t>
      </w:r>
      <w:r>
        <w:rPr>
          <w:rFonts w:ascii="Verdana" w:hAnsi="Verdana"/>
          <w:sz w:val="21"/>
          <w:szCs w:val="21"/>
        </w:rPr>
        <w:t>. Tuttavia, è ancora necessario lavorare sul metodo di determinazione del pricing e sulla sua trasparenza nei confronti delle aziende clienti.</w:t>
      </w:r>
    </w:p>
    <w:p w14:paraId="67716D0B" w14:textId="6958BFFE" w:rsidR="00D2409E" w:rsidRDefault="00307156" w:rsidP="00B7606E">
      <w:pPr>
        <w:spacing w:after="120" w:line="276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In Italia, inoltre, esistono dei vincoli giuridici che possono giustificare il limite sia alla domanda che all’offerta di obbligazioni CAT come possibile alternativa alle coperture assicurative, e nello specifico l’indagine evidenzia la mancanza di forme contrattuali standard e linee guida che potrebbero facilitarne la diffusione.</w:t>
      </w:r>
    </w:p>
    <w:p w14:paraId="1455D9B9" w14:textId="219A9240" w:rsidR="0044074F" w:rsidRDefault="0044074F" w:rsidP="0037135E">
      <w:pPr>
        <w:spacing w:after="120" w:line="276" w:lineRule="auto"/>
        <w:jc w:val="both"/>
        <w:rPr>
          <w:rFonts w:ascii="Verdana" w:hAnsi="Verdana"/>
          <w:sz w:val="21"/>
          <w:szCs w:val="21"/>
        </w:rPr>
      </w:pPr>
      <w:r w:rsidRPr="0044074F">
        <w:rPr>
          <w:rFonts w:ascii="Verdana" w:hAnsi="Verdana"/>
          <w:sz w:val="21"/>
          <w:szCs w:val="21"/>
        </w:rPr>
        <w:t>“</w:t>
      </w:r>
      <w:r w:rsidR="00722AC8">
        <w:rPr>
          <w:rFonts w:ascii="Verdana" w:hAnsi="Verdana"/>
          <w:i/>
          <w:iCs/>
          <w:sz w:val="21"/>
          <w:szCs w:val="21"/>
        </w:rPr>
        <w:t>È necessario affrontare il tema del livello di copertura assicurativa disponibile nel Paese, e di come mitigare efficacemente i rischi a carico degli imprenditori italiani esposti ad eventi catastrofici. Secondo quanto emerso dalla nostra indagine, i CAT bond possono certamente svolgere un ruolo significativo nel rispondere a questa necessità, ma non in modo così automatico.</w:t>
      </w:r>
      <w:r w:rsidRPr="0044074F">
        <w:rPr>
          <w:rFonts w:ascii="Verdana" w:hAnsi="Verdana"/>
          <w:sz w:val="21"/>
          <w:szCs w:val="21"/>
        </w:rPr>
        <w:t>”</w:t>
      </w:r>
      <w:r w:rsidR="00F91772">
        <w:rPr>
          <w:rFonts w:ascii="Verdana" w:hAnsi="Verdana"/>
          <w:sz w:val="21"/>
          <w:szCs w:val="21"/>
        </w:rPr>
        <w:t>, commenta</w:t>
      </w:r>
      <w:r w:rsidRPr="0044074F">
        <w:rPr>
          <w:rFonts w:ascii="Verdana" w:hAnsi="Verdana"/>
          <w:sz w:val="21"/>
          <w:szCs w:val="21"/>
        </w:rPr>
        <w:t xml:space="preserve"> </w:t>
      </w:r>
      <w:r w:rsidR="00E51F4F">
        <w:rPr>
          <w:rFonts w:ascii="Verdana" w:hAnsi="Verdana"/>
          <w:b/>
          <w:sz w:val="21"/>
          <w:szCs w:val="21"/>
        </w:rPr>
        <w:t>Alessandro De Felice</w:t>
      </w:r>
      <w:r w:rsidRPr="003474FE">
        <w:rPr>
          <w:rFonts w:ascii="Verdana" w:hAnsi="Verdana"/>
          <w:b/>
          <w:sz w:val="21"/>
          <w:szCs w:val="21"/>
        </w:rPr>
        <w:t>, Presidente ANRA</w:t>
      </w:r>
      <w:r w:rsidR="00A8673F">
        <w:rPr>
          <w:rFonts w:ascii="Verdana" w:hAnsi="Verdana"/>
          <w:b/>
          <w:sz w:val="21"/>
          <w:szCs w:val="21"/>
        </w:rPr>
        <w:t>.</w:t>
      </w:r>
      <w:r w:rsidRPr="0044074F">
        <w:rPr>
          <w:rFonts w:ascii="Verdana" w:hAnsi="Verdana"/>
          <w:sz w:val="21"/>
          <w:szCs w:val="21"/>
        </w:rPr>
        <w:t xml:space="preserve"> “</w:t>
      </w:r>
      <w:r w:rsidR="00722AC8">
        <w:rPr>
          <w:rFonts w:ascii="Verdana" w:hAnsi="Verdana"/>
          <w:i/>
          <w:sz w:val="21"/>
          <w:szCs w:val="21"/>
        </w:rPr>
        <w:t>Rimangono necessari oneri regolamentari, in modo che il loro utilizzo da parte delle compagnie di assicurazione e riassicurazione possano favorire l’offerta di polizze assicurative con premi inferiori e condizioni più favorevoli. Allo stesso tempo, l’eliminazione di alcuni limiti regolamentari può costituire una misura per incentivare, seppur indirettamente, le coperture assicurative contro i rischi derivanti da eventi catastrofici</w:t>
      </w:r>
      <w:r w:rsidRPr="0044074F">
        <w:rPr>
          <w:rFonts w:ascii="Verdana" w:hAnsi="Verdana"/>
          <w:sz w:val="21"/>
          <w:szCs w:val="21"/>
        </w:rPr>
        <w:t xml:space="preserve">”. </w:t>
      </w:r>
    </w:p>
    <w:p w14:paraId="4EF8E1A6" w14:textId="77777777" w:rsidR="0044074F" w:rsidRPr="0044074F" w:rsidRDefault="0044074F" w:rsidP="0044074F">
      <w:pPr>
        <w:spacing w:after="60" w:line="276" w:lineRule="auto"/>
        <w:jc w:val="both"/>
        <w:rPr>
          <w:rFonts w:ascii="Verdana" w:hAnsi="Verdana"/>
          <w:sz w:val="21"/>
          <w:szCs w:val="21"/>
        </w:rPr>
      </w:pPr>
    </w:p>
    <w:p w14:paraId="5EF9D73C" w14:textId="77777777" w:rsidR="00693D81" w:rsidRDefault="00693D81" w:rsidP="003E789E">
      <w:pPr>
        <w:spacing w:after="60" w:line="240" w:lineRule="auto"/>
        <w:rPr>
          <w:rFonts w:ascii="Verdana" w:hAnsi="Verdana"/>
          <w:sz w:val="21"/>
          <w:szCs w:val="21"/>
        </w:rPr>
      </w:pPr>
    </w:p>
    <w:p w14:paraId="3AF2723B" w14:textId="77777777" w:rsidR="00FE1F11" w:rsidRDefault="00FE1F11" w:rsidP="00FE1F11">
      <w:pPr>
        <w:spacing w:after="60" w:line="240" w:lineRule="auto"/>
        <w:rPr>
          <w:rFonts w:ascii="Verdana" w:hAnsi="Verdana" w:cs="Arial"/>
          <w:b/>
          <w:sz w:val="18"/>
          <w:szCs w:val="26"/>
        </w:rPr>
      </w:pPr>
    </w:p>
    <w:p w14:paraId="0F97C6AD" w14:textId="5EDC0D2D" w:rsidR="00FE1F11" w:rsidRPr="00FE1F11" w:rsidRDefault="00FE1F11" w:rsidP="00FE1F11">
      <w:pPr>
        <w:spacing w:after="60" w:line="240" w:lineRule="auto"/>
        <w:rPr>
          <w:rFonts w:ascii="Verdana" w:hAnsi="Verdana" w:cs="Arial"/>
          <w:b/>
          <w:sz w:val="18"/>
          <w:szCs w:val="18"/>
        </w:rPr>
      </w:pPr>
      <w:r w:rsidRPr="00FE1F11">
        <w:rPr>
          <w:rFonts w:ascii="Verdana" w:hAnsi="Verdana" w:cs="Arial"/>
          <w:b/>
          <w:sz w:val="18"/>
          <w:szCs w:val="18"/>
        </w:rPr>
        <w:t>CHI È ANRA</w:t>
      </w:r>
    </w:p>
    <w:p w14:paraId="4CAD87BB" w14:textId="77777777" w:rsidR="00FE1F11" w:rsidRPr="00FE1F11" w:rsidRDefault="00FE1F11" w:rsidP="00FE1F11">
      <w:pPr>
        <w:spacing w:after="60"/>
        <w:jc w:val="both"/>
        <w:rPr>
          <w:rFonts w:ascii="Verdana" w:hAnsi="Verdana" w:cs="Arial"/>
          <w:i/>
          <w:color w:val="333333"/>
          <w:sz w:val="18"/>
          <w:szCs w:val="18"/>
        </w:rPr>
      </w:pPr>
      <w:r w:rsidRPr="00FE1F11">
        <w:rPr>
          <w:rFonts w:ascii="Verdana" w:hAnsi="Verdana" w:cs="Arial"/>
          <w:i/>
          <w:color w:val="333333"/>
          <w:sz w:val="18"/>
          <w:szCs w:val="18"/>
        </w:rPr>
        <w:t xml:space="preserve">ANRA è l'associazione che dal 1972 raggruppa i risk manager e i responsabili delle assicurazioni aziendali. L'associazione opera attraverso la sede di Milano e vari corrispondenti regionali. ANRA è il punto di riferimento in Italia per diffondere la cultura d'impresa attraverso la gestione del rischio e delle assicurazioni in azienda. Si relaziona con le altre associazioni nazionali di risk manager in Ferma, a livello europeo, e in </w:t>
      </w:r>
      <w:proofErr w:type="spellStart"/>
      <w:r w:rsidRPr="00FE1F11">
        <w:rPr>
          <w:rFonts w:ascii="Verdana" w:hAnsi="Verdana" w:cs="Arial"/>
          <w:i/>
          <w:color w:val="333333"/>
          <w:sz w:val="18"/>
          <w:szCs w:val="18"/>
        </w:rPr>
        <w:t>Ifrima</w:t>
      </w:r>
      <w:proofErr w:type="spellEnd"/>
      <w:r w:rsidRPr="00FE1F11">
        <w:rPr>
          <w:rFonts w:ascii="Verdana" w:hAnsi="Verdana" w:cs="Arial"/>
          <w:i/>
          <w:color w:val="333333"/>
          <w:sz w:val="18"/>
          <w:szCs w:val="18"/>
        </w:rPr>
        <w:t xml:space="preserve"> a livello internazionale. ANRA è costituita da Risk Officer, Risk Manager ed Insurance Manager che operano quotidianamente nella professione e che trovano vantaggio nello scambio continuo delle proprie esperienze e nella condivisione di progetti a beneficio dello sviluppo del settore. Complessivamente, le aziende pubbliche e private di cui fanno parte i soci rappresentano un fatturato complessivo di oltre 430 miliardi (pari a circa il 25% del PIL).</w:t>
      </w:r>
      <w:r w:rsidRPr="00FE1F11">
        <w:rPr>
          <w:rFonts w:ascii="Verdana" w:hAnsi="Verdana" w:cs="Arial"/>
          <w:color w:val="333333"/>
          <w:sz w:val="18"/>
          <w:szCs w:val="18"/>
        </w:rPr>
        <w:t xml:space="preserve"> </w:t>
      </w:r>
    </w:p>
    <w:p w14:paraId="383CE335" w14:textId="77777777" w:rsidR="00FE1F11" w:rsidRPr="00FE1F11" w:rsidRDefault="00FE1F11" w:rsidP="00FE1F11">
      <w:pPr>
        <w:spacing w:after="60" w:line="240" w:lineRule="auto"/>
        <w:jc w:val="both"/>
        <w:rPr>
          <w:rFonts w:ascii="Verdana" w:hAnsi="Verdana" w:cs="Arial"/>
          <w:i/>
          <w:color w:val="333333"/>
          <w:sz w:val="18"/>
          <w:szCs w:val="18"/>
        </w:rPr>
      </w:pPr>
      <w:r w:rsidRPr="00FE1F11">
        <w:rPr>
          <w:rFonts w:ascii="Verdana" w:hAnsi="Verdana" w:cs="Arial"/>
          <w:i/>
          <w:color w:val="333333"/>
          <w:sz w:val="18"/>
          <w:szCs w:val="18"/>
        </w:rPr>
        <w:t>Nella piena convinzione che l'esperienza sia il miglior argomento per diffondere la cultura del risk management, ANRA organizza incontri aperti a professionisti ed aziende su tematiche inerenti al rischio aziendale, corsi di formazione per nuove figure e scambi di esperienze con colleghi stranieri. Nella sua attività di supporto a manager ed imprese, ANRA si appoggia a molti partner, come enti universitari, società di consulenza, compagnie assicurative, broker, società di servizio nell'ambito del rischio d'impresa: con le loro competenze specifiche, tutti questi attori portano valore aggiunto ai membri dell'associazione e alle loro imprese. Dal giugno 2016 ANRA promuove "</w:t>
      </w:r>
      <w:proofErr w:type="spellStart"/>
      <w:r w:rsidRPr="00FE1F11">
        <w:rPr>
          <w:rFonts w:ascii="Verdana" w:hAnsi="Verdana" w:cs="Arial"/>
          <w:i/>
          <w:color w:val="333333"/>
          <w:sz w:val="18"/>
          <w:szCs w:val="18"/>
        </w:rPr>
        <w:t>alp</w:t>
      </w:r>
      <w:proofErr w:type="spellEnd"/>
      <w:r w:rsidRPr="00FE1F11">
        <w:rPr>
          <w:rFonts w:ascii="Verdana" w:hAnsi="Verdana" w:cs="Arial"/>
          <w:i/>
          <w:color w:val="333333"/>
          <w:sz w:val="18"/>
          <w:szCs w:val="18"/>
        </w:rPr>
        <w:t xml:space="preserve">" - ANRA Learning Path - la nuova Accademia ANRA per la formazione dei professionisti della gestione del rischio, riconosciuta e certificata RIMAP a livello europeo. </w:t>
      </w:r>
      <w:hyperlink r:id="rId8" w:history="1">
        <w:r w:rsidRPr="00FE1F11">
          <w:rPr>
            <w:rStyle w:val="Collegamentoipertestuale"/>
            <w:rFonts w:ascii="Verdana" w:hAnsi="Verdana" w:cs="Arial"/>
            <w:sz w:val="18"/>
            <w:szCs w:val="18"/>
          </w:rPr>
          <w:t>www.anra.it</w:t>
        </w:r>
      </w:hyperlink>
    </w:p>
    <w:p w14:paraId="12E52CAB" w14:textId="77777777" w:rsidR="00FE1F11" w:rsidRPr="00B72B1C" w:rsidRDefault="00FE1F11" w:rsidP="00FE1F11">
      <w:pPr>
        <w:spacing w:after="80" w:line="240" w:lineRule="auto"/>
        <w:rPr>
          <w:rFonts w:ascii="Verdana" w:hAnsi="Verdana" w:cs="Arial"/>
          <w:color w:val="737373"/>
          <w:sz w:val="18"/>
          <w:szCs w:val="26"/>
        </w:rPr>
      </w:pPr>
    </w:p>
    <w:p w14:paraId="7CEF4960" w14:textId="77777777" w:rsidR="00FE1F11" w:rsidRPr="00B72B1C" w:rsidRDefault="00FE1F11" w:rsidP="00FE1F11">
      <w:pPr>
        <w:spacing w:after="60" w:line="240" w:lineRule="auto"/>
        <w:rPr>
          <w:rFonts w:ascii="Verdana" w:hAnsi="Verdana"/>
          <w:b/>
          <w:sz w:val="21"/>
          <w:szCs w:val="21"/>
        </w:rPr>
      </w:pPr>
      <w:r w:rsidRPr="00B72B1C">
        <w:rPr>
          <w:rFonts w:ascii="Verdana" w:hAnsi="Verdana"/>
          <w:b/>
          <w:sz w:val="21"/>
          <w:szCs w:val="21"/>
        </w:rPr>
        <w:t>Per informazioni</w:t>
      </w:r>
    </w:p>
    <w:p w14:paraId="02DEDCFE" w14:textId="77777777" w:rsidR="00FE1F11" w:rsidRPr="00B72B1C" w:rsidRDefault="00FE1F11" w:rsidP="00FE1F11">
      <w:pPr>
        <w:spacing w:after="0" w:line="240" w:lineRule="auto"/>
        <w:rPr>
          <w:rFonts w:ascii="Verdana" w:hAnsi="Verdana"/>
          <w:sz w:val="21"/>
          <w:szCs w:val="21"/>
        </w:rPr>
      </w:pPr>
      <w:r w:rsidRPr="00B72B1C">
        <w:rPr>
          <w:rFonts w:ascii="Verdana" w:hAnsi="Verdana"/>
          <w:sz w:val="21"/>
          <w:szCs w:val="21"/>
        </w:rPr>
        <w:t>Noesis - ufficio stampa ANRA</w:t>
      </w:r>
    </w:p>
    <w:p w14:paraId="3AD0AC27" w14:textId="77777777" w:rsidR="00FE1F11" w:rsidRPr="00B72B1C" w:rsidRDefault="00FE1F11" w:rsidP="00FE1F11">
      <w:pPr>
        <w:spacing w:after="0" w:line="240" w:lineRule="auto"/>
        <w:rPr>
          <w:rFonts w:ascii="Verdana" w:hAnsi="Verdana"/>
          <w:sz w:val="21"/>
          <w:szCs w:val="21"/>
        </w:rPr>
      </w:pPr>
      <w:r w:rsidRPr="00B72B1C">
        <w:rPr>
          <w:rFonts w:ascii="Verdana" w:hAnsi="Verdana"/>
          <w:sz w:val="21"/>
          <w:szCs w:val="21"/>
        </w:rPr>
        <w:t>Elena Cerutti, Eleonora Carminati</w:t>
      </w:r>
    </w:p>
    <w:p w14:paraId="726930A1" w14:textId="77777777" w:rsidR="00FE1F11" w:rsidRPr="00B72B1C" w:rsidRDefault="00FE1F11" w:rsidP="00FE1F11">
      <w:pPr>
        <w:spacing w:after="0" w:line="240" w:lineRule="auto"/>
        <w:rPr>
          <w:rFonts w:ascii="Verdana" w:hAnsi="Verdana"/>
          <w:sz w:val="21"/>
          <w:szCs w:val="21"/>
        </w:rPr>
      </w:pPr>
      <w:r w:rsidRPr="00B72B1C">
        <w:rPr>
          <w:rFonts w:ascii="Verdana" w:hAnsi="Verdana"/>
          <w:sz w:val="21"/>
          <w:szCs w:val="21"/>
        </w:rPr>
        <w:t>T. 348.3175490 – 02.8310511</w:t>
      </w:r>
    </w:p>
    <w:p w14:paraId="100E4C74" w14:textId="1D2A3D3A" w:rsidR="00FE1F11" w:rsidRPr="005A6BF6" w:rsidRDefault="008A6F2C" w:rsidP="005A6BF6">
      <w:pPr>
        <w:spacing w:after="0" w:line="240" w:lineRule="auto"/>
        <w:rPr>
          <w:rFonts w:ascii="Verdana" w:hAnsi="Verdana"/>
          <w:sz w:val="21"/>
          <w:szCs w:val="21"/>
        </w:rPr>
      </w:pPr>
      <w:hyperlink r:id="rId9" w:history="1">
        <w:r w:rsidR="00FE1F11" w:rsidRPr="00B72B1C">
          <w:rPr>
            <w:rStyle w:val="Collegamentoipertestuale"/>
            <w:rFonts w:ascii="Verdana" w:hAnsi="Verdana"/>
            <w:sz w:val="21"/>
            <w:szCs w:val="21"/>
          </w:rPr>
          <w:t>anra@noesis.net</w:t>
        </w:r>
      </w:hyperlink>
      <w:r w:rsidR="00FE1F11" w:rsidRPr="00B72B1C">
        <w:rPr>
          <w:rFonts w:ascii="Verdana" w:hAnsi="Verdana"/>
          <w:sz w:val="21"/>
          <w:szCs w:val="21"/>
        </w:rPr>
        <w:t xml:space="preserve"> </w:t>
      </w:r>
    </w:p>
    <w:sectPr w:rsidR="00FE1F11" w:rsidRPr="005A6BF6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2A7DE" w14:textId="77777777" w:rsidR="00FF585F" w:rsidRDefault="00FF585F" w:rsidP="00E1228E">
      <w:pPr>
        <w:spacing w:after="0" w:line="240" w:lineRule="auto"/>
      </w:pPr>
      <w:r>
        <w:separator/>
      </w:r>
    </w:p>
  </w:endnote>
  <w:endnote w:type="continuationSeparator" w:id="0">
    <w:p w14:paraId="5CC8AB06" w14:textId="77777777" w:rsidR="00FF585F" w:rsidRDefault="00FF585F" w:rsidP="00E1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8F06D" w14:textId="77777777" w:rsidR="00FF585F" w:rsidRDefault="00FF585F" w:rsidP="00E1228E">
      <w:pPr>
        <w:spacing w:after="0" w:line="240" w:lineRule="auto"/>
      </w:pPr>
      <w:r>
        <w:separator/>
      </w:r>
    </w:p>
  </w:footnote>
  <w:footnote w:type="continuationSeparator" w:id="0">
    <w:p w14:paraId="487CE4AA" w14:textId="77777777" w:rsidR="00FF585F" w:rsidRDefault="00FF585F" w:rsidP="00E1228E">
      <w:pPr>
        <w:spacing w:after="0" w:line="240" w:lineRule="auto"/>
      </w:pPr>
      <w:r>
        <w:continuationSeparator/>
      </w:r>
    </w:p>
  </w:footnote>
  <w:footnote w:id="1">
    <w:p w14:paraId="5513C968" w14:textId="21C5DC32" w:rsidR="0084074C" w:rsidRPr="00717B28" w:rsidRDefault="0084074C">
      <w:pPr>
        <w:pStyle w:val="Testonotaapidipagina"/>
        <w:rPr>
          <w:rFonts w:ascii="Verdana" w:hAnsi="Verdana"/>
          <w:sz w:val="18"/>
          <w:szCs w:val="18"/>
        </w:rPr>
      </w:pPr>
      <w:r w:rsidRPr="00717B28">
        <w:rPr>
          <w:rStyle w:val="Rimandonotaapidipagina"/>
          <w:rFonts w:ascii="Verdana" w:hAnsi="Verdana"/>
          <w:sz w:val="18"/>
          <w:szCs w:val="18"/>
        </w:rPr>
        <w:footnoteRef/>
      </w:r>
      <w:hyperlink r:id="rId1" w:history="1">
        <w:r w:rsidR="00717B28" w:rsidRPr="00177B4F">
          <w:rPr>
            <w:rStyle w:val="Collegamentoipertestuale"/>
            <w:rFonts w:ascii="Verdana" w:hAnsi="Verdana"/>
            <w:sz w:val="18"/>
            <w:szCs w:val="18"/>
          </w:rPr>
          <w:t>https://www.swissre.com/dam/jcr:f6506ced-0eda-42fb-96da-14a38a4e03c7/nr-20201215-sigma-full-year-preliminary-natcat-loss-estimate-2020-en.pdf</w:t>
        </w:r>
      </w:hyperlink>
      <w:r w:rsidR="00FF2D4C" w:rsidRPr="00717B28">
        <w:rPr>
          <w:rFonts w:ascii="Verdana" w:hAnsi="Verdana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24404" w14:textId="13D94259" w:rsidR="002F030F" w:rsidRDefault="002F030F" w:rsidP="00DB31B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0D311F9" wp14:editId="7A7FCCC2">
          <wp:extent cx="2332299" cy="581976"/>
          <wp:effectExtent l="0" t="0" r="0" b="889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RA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634" cy="617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035EE"/>
    <w:multiLevelType w:val="hybridMultilevel"/>
    <w:tmpl w:val="46C08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53C65"/>
    <w:multiLevelType w:val="hybridMultilevel"/>
    <w:tmpl w:val="795E6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262A6"/>
    <w:multiLevelType w:val="hybridMultilevel"/>
    <w:tmpl w:val="53E012E0"/>
    <w:lvl w:ilvl="0" w:tplc="44643E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2BD"/>
    <w:rsid w:val="000143C2"/>
    <w:rsid w:val="0002218C"/>
    <w:rsid w:val="000221EF"/>
    <w:rsid w:val="00024BE2"/>
    <w:rsid w:val="00037784"/>
    <w:rsid w:val="000402CA"/>
    <w:rsid w:val="00040728"/>
    <w:rsid w:val="00041D6B"/>
    <w:rsid w:val="000516DD"/>
    <w:rsid w:val="00076064"/>
    <w:rsid w:val="00077C50"/>
    <w:rsid w:val="00080A20"/>
    <w:rsid w:val="00091A55"/>
    <w:rsid w:val="000A3604"/>
    <w:rsid w:val="000C0D02"/>
    <w:rsid w:val="000D0B6E"/>
    <w:rsid w:val="000D681B"/>
    <w:rsid w:val="000F00CE"/>
    <w:rsid w:val="00100864"/>
    <w:rsid w:val="001052C0"/>
    <w:rsid w:val="0011147A"/>
    <w:rsid w:val="00113628"/>
    <w:rsid w:val="001166F4"/>
    <w:rsid w:val="00117C71"/>
    <w:rsid w:val="00131BFC"/>
    <w:rsid w:val="00134A63"/>
    <w:rsid w:val="0014137C"/>
    <w:rsid w:val="0014407C"/>
    <w:rsid w:val="001732E0"/>
    <w:rsid w:val="00183A5D"/>
    <w:rsid w:val="001B0B83"/>
    <w:rsid w:val="001C189B"/>
    <w:rsid w:val="001D27DC"/>
    <w:rsid w:val="0022751A"/>
    <w:rsid w:val="00231764"/>
    <w:rsid w:val="002445DC"/>
    <w:rsid w:val="00256CC7"/>
    <w:rsid w:val="0026149C"/>
    <w:rsid w:val="0028045C"/>
    <w:rsid w:val="002868B7"/>
    <w:rsid w:val="002A4845"/>
    <w:rsid w:val="002C1379"/>
    <w:rsid w:val="002C7E62"/>
    <w:rsid w:val="002E47FA"/>
    <w:rsid w:val="002F030F"/>
    <w:rsid w:val="00306422"/>
    <w:rsid w:val="00307156"/>
    <w:rsid w:val="003162A9"/>
    <w:rsid w:val="00316361"/>
    <w:rsid w:val="00322D80"/>
    <w:rsid w:val="00325B53"/>
    <w:rsid w:val="00331DB6"/>
    <w:rsid w:val="00337CD2"/>
    <w:rsid w:val="00341270"/>
    <w:rsid w:val="003433E3"/>
    <w:rsid w:val="003474FE"/>
    <w:rsid w:val="003646C9"/>
    <w:rsid w:val="00370A5F"/>
    <w:rsid w:val="0037135E"/>
    <w:rsid w:val="0038199D"/>
    <w:rsid w:val="003918A5"/>
    <w:rsid w:val="003A1168"/>
    <w:rsid w:val="003B3582"/>
    <w:rsid w:val="003B75A8"/>
    <w:rsid w:val="003C18CA"/>
    <w:rsid w:val="003C1D00"/>
    <w:rsid w:val="003C474E"/>
    <w:rsid w:val="003C6DA1"/>
    <w:rsid w:val="003D30A5"/>
    <w:rsid w:val="003E30B4"/>
    <w:rsid w:val="003E789E"/>
    <w:rsid w:val="003F3EE2"/>
    <w:rsid w:val="003F5082"/>
    <w:rsid w:val="004129A3"/>
    <w:rsid w:val="00422556"/>
    <w:rsid w:val="0044074F"/>
    <w:rsid w:val="00440835"/>
    <w:rsid w:val="00446B6D"/>
    <w:rsid w:val="004505CE"/>
    <w:rsid w:val="0045195B"/>
    <w:rsid w:val="00460769"/>
    <w:rsid w:val="0046447D"/>
    <w:rsid w:val="00472FF0"/>
    <w:rsid w:val="0047705F"/>
    <w:rsid w:val="004804CA"/>
    <w:rsid w:val="00491504"/>
    <w:rsid w:val="004A4C4F"/>
    <w:rsid w:val="004B456A"/>
    <w:rsid w:val="004C0427"/>
    <w:rsid w:val="004D3EDB"/>
    <w:rsid w:val="0051614C"/>
    <w:rsid w:val="00516499"/>
    <w:rsid w:val="005266DC"/>
    <w:rsid w:val="00534F1A"/>
    <w:rsid w:val="005533D2"/>
    <w:rsid w:val="0055613C"/>
    <w:rsid w:val="005564F8"/>
    <w:rsid w:val="00580707"/>
    <w:rsid w:val="00586ADF"/>
    <w:rsid w:val="005A6BF6"/>
    <w:rsid w:val="005D25F2"/>
    <w:rsid w:val="005E5BCE"/>
    <w:rsid w:val="00611D48"/>
    <w:rsid w:val="0064753E"/>
    <w:rsid w:val="00660D1A"/>
    <w:rsid w:val="006701AE"/>
    <w:rsid w:val="00675BBA"/>
    <w:rsid w:val="00693D81"/>
    <w:rsid w:val="006A0CD4"/>
    <w:rsid w:val="006A1489"/>
    <w:rsid w:val="006B5D36"/>
    <w:rsid w:val="006E7E8E"/>
    <w:rsid w:val="006F2269"/>
    <w:rsid w:val="006F3E0F"/>
    <w:rsid w:val="006F6561"/>
    <w:rsid w:val="0070285F"/>
    <w:rsid w:val="00703014"/>
    <w:rsid w:val="007044EF"/>
    <w:rsid w:val="00704989"/>
    <w:rsid w:val="00706BAC"/>
    <w:rsid w:val="00712F2A"/>
    <w:rsid w:val="00717B28"/>
    <w:rsid w:val="00722AC8"/>
    <w:rsid w:val="00730B8C"/>
    <w:rsid w:val="00743DD3"/>
    <w:rsid w:val="00753807"/>
    <w:rsid w:val="00754657"/>
    <w:rsid w:val="00756489"/>
    <w:rsid w:val="0076652B"/>
    <w:rsid w:val="00767B44"/>
    <w:rsid w:val="00773B73"/>
    <w:rsid w:val="007A0444"/>
    <w:rsid w:val="007A0F8B"/>
    <w:rsid w:val="007D4501"/>
    <w:rsid w:val="007E2017"/>
    <w:rsid w:val="00801E30"/>
    <w:rsid w:val="0080647D"/>
    <w:rsid w:val="00817971"/>
    <w:rsid w:val="00817DDF"/>
    <w:rsid w:val="008328BD"/>
    <w:rsid w:val="00834C30"/>
    <w:rsid w:val="008358B9"/>
    <w:rsid w:val="0084074C"/>
    <w:rsid w:val="008A6F2C"/>
    <w:rsid w:val="008D6E86"/>
    <w:rsid w:val="008D73CE"/>
    <w:rsid w:val="008E1461"/>
    <w:rsid w:val="008E6E92"/>
    <w:rsid w:val="008F0E7E"/>
    <w:rsid w:val="008F1056"/>
    <w:rsid w:val="008F4D51"/>
    <w:rsid w:val="00911743"/>
    <w:rsid w:val="009133C1"/>
    <w:rsid w:val="0092731A"/>
    <w:rsid w:val="00951235"/>
    <w:rsid w:val="009552BD"/>
    <w:rsid w:val="00970D93"/>
    <w:rsid w:val="0099448E"/>
    <w:rsid w:val="009A7425"/>
    <w:rsid w:val="009A792C"/>
    <w:rsid w:val="009B2098"/>
    <w:rsid w:val="009B376E"/>
    <w:rsid w:val="009B7757"/>
    <w:rsid w:val="009C0BE4"/>
    <w:rsid w:val="009C231C"/>
    <w:rsid w:val="00A01196"/>
    <w:rsid w:val="00A16A5B"/>
    <w:rsid w:val="00A2639E"/>
    <w:rsid w:val="00A530FC"/>
    <w:rsid w:val="00A6281B"/>
    <w:rsid w:val="00A635E1"/>
    <w:rsid w:val="00A754B6"/>
    <w:rsid w:val="00A767B1"/>
    <w:rsid w:val="00A8673F"/>
    <w:rsid w:val="00A97428"/>
    <w:rsid w:val="00AA1326"/>
    <w:rsid w:val="00AB75C7"/>
    <w:rsid w:val="00AD7D07"/>
    <w:rsid w:val="00AE0DD2"/>
    <w:rsid w:val="00AE4B91"/>
    <w:rsid w:val="00AF29B3"/>
    <w:rsid w:val="00B02A29"/>
    <w:rsid w:val="00B10DC0"/>
    <w:rsid w:val="00B136D7"/>
    <w:rsid w:val="00B2732A"/>
    <w:rsid w:val="00B33DEA"/>
    <w:rsid w:val="00B7606E"/>
    <w:rsid w:val="00B97AD1"/>
    <w:rsid w:val="00BD0B23"/>
    <w:rsid w:val="00C04C9D"/>
    <w:rsid w:val="00C11DCD"/>
    <w:rsid w:val="00C61B1C"/>
    <w:rsid w:val="00C66015"/>
    <w:rsid w:val="00C73265"/>
    <w:rsid w:val="00C768DC"/>
    <w:rsid w:val="00C83AAC"/>
    <w:rsid w:val="00CC17E1"/>
    <w:rsid w:val="00CC1B59"/>
    <w:rsid w:val="00CC432B"/>
    <w:rsid w:val="00CD1CC4"/>
    <w:rsid w:val="00CD5495"/>
    <w:rsid w:val="00CD5704"/>
    <w:rsid w:val="00CD7A9A"/>
    <w:rsid w:val="00D2409E"/>
    <w:rsid w:val="00D36D04"/>
    <w:rsid w:val="00D65F82"/>
    <w:rsid w:val="00D66A78"/>
    <w:rsid w:val="00D77124"/>
    <w:rsid w:val="00D833AB"/>
    <w:rsid w:val="00D9762D"/>
    <w:rsid w:val="00DB31BD"/>
    <w:rsid w:val="00DB43C6"/>
    <w:rsid w:val="00DC3643"/>
    <w:rsid w:val="00DD09A9"/>
    <w:rsid w:val="00DD1D55"/>
    <w:rsid w:val="00DD5290"/>
    <w:rsid w:val="00DE1264"/>
    <w:rsid w:val="00DE1971"/>
    <w:rsid w:val="00E03493"/>
    <w:rsid w:val="00E07BE6"/>
    <w:rsid w:val="00E1228E"/>
    <w:rsid w:val="00E413CC"/>
    <w:rsid w:val="00E51F4F"/>
    <w:rsid w:val="00E8576A"/>
    <w:rsid w:val="00EA54A8"/>
    <w:rsid w:val="00EB076D"/>
    <w:rsid w:val="00EC0595"/>
    <w:rsid w:val="00EF4ABB"/>
    <w:rsid w:val="00F050A8"/>
    <w:rsid w:val="00F235CD"/>
    <w:rsid w:val="00F33971"/>
    <w:rsid w:val="00F346C8"/>
    <w:rsid w:val="00F37C95"/>
    <w:rsid w:val="00F42784"/>
    <w:rsid w:val="00F61724"/>
    <w:rsid w:val="00F62B16"/>
    <w:rsid w:val="00F91455"/>
    <w:rsid w:val="00F91772"/>
    <w:rsid w:val="00FC5396"/>
    <w:rsid w:val="00FE047D"/>
    <w:rsid w:val="00FE0A66"/>
    <w:rsid w:val="00FE1F11"/>
    <w:rsid w:val="00FF2D4C"/>
    <w:rsid w:val="00FF585F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094524"/>
  <w15:chartTrackingRefBased/>
  <w15:docId w15:val="{AC6DE933-7A41-4783-9FBE-CDB86508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122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22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228E"/>
  </w:style>
  <w:style w:type="paragraph" w:styleId="Pidipagina">
    <w:name w:val="footer"/>
    <w:basedOn w:val="Normale"/>
    <w:link w:val="PidipaginaCarattere"/>
    <w:uiPriority w:val="99"/>
    <w:unhideWhenUsed/>
    <w:rsid w:val="00E122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228E"/>
  </w:style>
  <w:style w:type="character" w:styleId="Collegamentoipertestuale">
    <w:name w:val="Hyperlink"/>
    <w:basedOn w:val="Carpredefinitoparagrafo"/>
    <w:uiPriority w:val="99"/>
    <w:unhideWhenUsed/>
    <w:rsid w:val="00FE1F11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628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281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281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281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281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81B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091A55"/>
    <w:rPr>
      <w:b/>
      <w:bCs/>
    </w:rPr>
  </w:style>
  <w:style w:type="paragraph" w:styleId="Paragrafoelenco">
    <w:name w:val="List Paragraph"/>
    <w:basedOn w:val="Normale"/>
    <w:uiPriority w:val="34"/>
    <w:qFormat/>
    <w:rsid w:val="005266DC"/>
    <w:pPr>
      <w:ind w:left="720"/>
      <w:contextualSpacing/>
    </w:pPr>
  </w:style>
  <w:style w:type="paragraph" w:customStyle="1" w:styleId="Default">
    <w:name w:val="Default"/>
    <w:rsid w:val="00113628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D1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074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074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074C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4074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21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r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ra@noesis.ne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wissre.com/dam/jcr:f6506ced-0eda-42fb-96da-14a38a4e03c7/nr-20201215-sigma-full-year-preliminary-natcat-loss-estimate-2020-e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3D29F-19B1-4302-831A-F0A84214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Noesis Srl</dc:creator>
  <cp:keywords/>
  <dc:description/>
  <cp:lastModifiedBy>Noesis Srl</cp:lastModifiedBy>
  <cp:revision>4</cp:revision>
  <dcterms:created xsi:type="dcterms:W3CDTF">2021-02-24T15:03:00Z</dcterms:created>
  <dcterms:modified xsi:type="dcterms:W3CDTF">2021-03-03T09:19:00Z</dcterms:modified>
</cp:coreProperties>
</file>